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814fe6defa43b9" /></Relationships>
</file>

<file path=word/document.xml><?xml version="1.0" encoding="utf-8"?>
<w:document xmlns:w="http://schemas.openxmlformats.org/wordprocessingml/2006/main">
  <w:body>
    <w:tbl>
      <w:tblPr>
        <w:tblW w:w="9000" w:type="dxa"/>
        <w:tblBorders>
          <w:top w:val="nil"/>
          <w:bottom w:val="nil"/>
          <w:left w:val="nil"/>
          <w:right w:val="nil"/>
          <w:insideH w:val="nil"/>
          <w:insideV w:val="nil"/>
        </w:tblBorders>
        <w:tblCellSpacing w:w="60" w:type="dxa"/>
        <w:shd w:val="clear" w:color="auto" w:fill="E7F0F9"/>
      </w:tblPr>
      <w:tblGrid>
        <w:gridCol w:w="1200"/>
        <w:gridCol w:w="4500"/>
      </w:tblGrid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RKP broj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50459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Naziv obveznika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JAVNA USTANOVA RAZVOJNA AGENCIJA BJELOVARSKO-BILOGORSKE ŽUPANIJE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Razina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21</w:t>
            </w:r>
          </w:p>
        </w:tc>
      </w:tr>
    </w:tbl>
    <w:p>
      <w:r>
        <w:br/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>BILJEŠKE UZ FINANCIJSKE IZVJEŠTAJE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>ZA RAZDOBLJE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>I - IX 2025.</w:t>
      </w:r>
    </w:p>
    <w:p/>
    <w:p>
      <w:pPr>
        <w:jc w:val="center"/>
        <w:pStyle w:val="Normal"/>
        <w:spacing w:line="240" w:lineRule="auto"/>
        <w:keepNext/>
      </w:pPr>
      <w:r>
        <w:rPr>
          <w:b/>
          <w:sz w:val="28"/>
          <w:rFonts w:ascii="Times New Roman" w:hAnsi="Times New Roman"/>
        </w:rPr>
        <w:t>Izvještaj o prihodima i rashodima, primicima i izdacima</w:t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>Bilješka 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0" w:type="auto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POSLOVANJA (šifre 61+62+63+64+65+66+67+68)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209.281,75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296.277,15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141,6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POSLOVANJA (šifre 31+32+34+35+36+37+38)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230.048,05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296.284,48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128,8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MANJAK PRIHODA POSLOVANJA (šifre Z005-6)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Y001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20.766,30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7,33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prodaje nefinancijske imovine (šifre 71+72+73+74)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za nabavu nefinancijske imovine (šifre 41+42+43+44+45)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599,93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MANJAK PRIHODA OD NEFINANCIJSKE IMOVINE (šifre 4-7)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Y002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599,93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Primici od financijske imovine i zaduživanja (šifre 81+82+83+84+85)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Izdaci za financijsku imovinu i otplate zajmova (šifre 51+52+53+54+55)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VIŠAK/MANJAK PRIMITAKA OD FINANCIJSKE IMOVINE I ZADUŽIVANJA (šifre 8-5, 5-8)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X003, Y003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MANJAK PRIHODA I PRIMITAKA (šifre Y345-X678)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Y005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20.766,30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607,26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2,9</w:t>
            </w:r>
          </w:p>
        </w:tc>
      </w:tr>
    </w:tbl>
    <w:p>
      <w:pPr>
        <w:spacing w:before="0" w:after="0"/>
      </w:pPr>
    </w:p>
    <w:p>
      <w:pPr>
        <w:jc w:val="both"/>
        <w:pStyle w:val="Normal"/>
        <w:spacing w:line="240" w:lineRule="auto"/>
      </w:pPr>
      <w:r>
        <w:rPr>
          <w:sz w:val="24"/>
          <w:rFonts w:ascii="Times New Roman" w:hAnsi="Times New Roman"/>
        </w:rPr>
        <w:t>Javna ustanova Razvojna agencija BBŽ u razdoblju od 01.siječnja do 30.rujna 2025. godine ostvarila je prihode u ukupnom iznosu od 296.277,15 EUR, što je za 41,60% veće u odnosu na prošlu godinu.
Povećanje prihoda došlo je zbog prihoda ostvarenog pomoći temeljem prijenosa EU sredstva o dodjeli bespovratnih sredstva u provedbi aktivosti jačanja kapaciteta na regionalnoj i lokalnoj razini za korištenje EU fondova, a iz čega se financiraju plaće u III. kvartalu 2025. godine.
Prihodi od nadležnog proračuna za financiranje rashoda poslovanja su smanjena jer su plaće isplaćene iz gore navedenih izvora.
U navednom razdolju nema ostvarenih prihoda od financijske imovine kao ni rashoda .
U navedom razdoblju nema niti prihoda od prodaje nefinacijske imovine ali ima rashode za nabavu nefinacijske imovine u iznosu  599,93 EUR.
Rashodi u III. kvartalu 296.284,48 EUR, što je povećanje u odnosu na 2024. godinu. za 28,80 %.
Najveće povećanje rashoda je za zaposlene zbog povećanja plaće u 2025. godinu, ali su drugi rashodi matrijalni i rashodi za usluge smanjeni u odnosu na 2024.
godinu.
U razdoblju 01.siječnja  do 30. rujna ostvaren je manjak prihoda poslovanja u iznosu 7,33 EUR , manjak prihoda za nabavu nefinancijske imovine u iznosu 599,93 EUR , sljedom čega je na kraju izvještajnog razdoblja manjak u iznosu  607,26 EUR.</w:t>
      </w:r>
    </w:p>
    <w:p>
      <w:r>
        <w:br/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>Bilješka 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za zaposlene (šifre 311+312+313)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179.605,48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258.952,67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144,2</w:t>
            </w:r>
          </w:p>
        </w:tc>
      </w:tr>
    </w:tbl>
    <w:p>
      <w:pPr>
        <w:spacing w:before="0" w:after="0"/>
      </w:pPr>
    </w:p>
    <w:p>
      <w:pPr>
        <w:jc w:val="both"/>
        <w:pStyle w:val="Normal"/>
        <w:spacing w:line="240" w:lineRule="auto"/>
      </w:pPr>
      <w:r>
        <w:rPr>
          <w:sz w:val="24"/>
          <w:rFonts w:ascii="Times New Roman" w:hAnsi="Times New Roman"/>
        </w:rPr>
        <w:t>Rashodi za zaposlene su povećani zbog porasta plaća u 2025. u odnosu na 2024. godinu kao i zbog povratka sa porodiljnog dvije djelatnice ustanove.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>Bilješka 3.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3431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Bankarske usluge i usluge platnog prometa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3431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292,13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</w:t>
            </w:r>
          </w:p>
        </w:tc>
      </w:tr>
    </w:tbl>
    <w:p>
      <w:pPr>
        <w:spacing w:before="0" w:after="0"/>
      </w:pPr>
    </w:p>
    <w:p>
      <w:pPr>
        <w:jc w:val="both"/>
        <w:pStyle w:val="Normal"/>
        <w:spacing w:line="240" w:lineRule="auto"/>
      </w:pPr>
      <w:r>
        <w:rPr>
          <w:sz w:val="24"/>
          <w:rFonts w:ascii="Times New Roman" w:hAnsi="Times New Roman"/>
        </w:rPr>
        <w:t>U 2025. godini ustanova je prešla na punu riznicu i nema svoj žiro račun te stoga nema troškove platnog prometa kao u 2024. godini.</w:t>
      </w:r>
    </w:p>
    <w:p/>
  </w:body>
</w:document>
</file>

<file path=word/styles.xml><?xml version="1.0" encoding="utf-8"?>
<w:styles xmlns:w="http://schemas.openxmlformats.org/wordprocessingml/2006/main">
  <w:style w:type="paragraph" w:styleId="Normal" w:default="true">
    <w:name w:val="Normal"/>
    <w:rPr>
      <w:rFonts w:ascii="Times New Roman" w:hAnsi="Times New Roman"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9a99eb9a483e4c86" /></Relationships>
</file>