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8198" w14:textId="77777777" w:rsidR="0047653A" w:rsidRDefault="0047653A">
      <w:pPr>
        <w:spacing w:line="276" w:lineRule="auto"/>
      </w:pPr>
    </w:p>
    <w:p w14:paraId="274C6AE1" w14:textId="77777777" w:rsidR="0047653A" w:rsidRDefault="0047653A">
      <w:pPr>
        <w:suppressAutoHyphens w:val="0"/>
        <w:spacing w:line="276" w:lineRule="auto"/>
        <w:rPr>
          <w:rFonts w:ascii="Times New Roman" w:eastAsia="Times New Roman" w:hAnsi="Times New Roman"/>
          <w:b/>
          <w:bCs/>
          <w:sz w:val="24"/>
          <w:szCs w:val="24"/>
        </w:rPr>
      </w:pPr>
    </w:p>
    <w:p w14:paraId="39ACF83B" w14:textId="77777777" w:rsidR="0047653A" w:rsidRDefault="0047653A">
      <w:pPr>
        <w:suppressAutoHyphens w:val="0"/>
        <w:spacing w:line="276" w:lineRule="auto"/>
        <w:rPr>
          <w:rFonts w:ascii="Times New Roman" w:eastAsia="Times New Roman" w:hAnsi="Times New Roman"/>
          <w:b/>
          <w:bCs/>
          <w:sz w:val="24"/>
          <w:szCs w:val="24"/>
        </w:rPr>
      </w:pPr>
    </w:p>
    <w:p w14:paraId="3BBBB5A4" w14:textId="77777777" w:rsidR="0047653A" w:rsidRDefault="0047653A">
      <w:pPr>
        <w:suppressAutoHyphens w:val="0"/>
        <w:spacing w:line="276" w:lineRule="auto"/>
        <w:rPr>
          <w:rFonts w:ascii="Times New Roman" w:eastAsia="Times New Roman" w:hAnsi="Times New Roman"/>
          <w:b/>
          <w:bCs/>
          <w:sz w:val="24"/>
          <w:szCs w:val="24"/>
        </w:rPr>
      </w:pPr>
    </w:p>
    <w:p w14:paraId="2B3435FD" w14:textId="77777777" w:rsidR="0047653A" w:rsidRDefault="0047653A">
      <w:pPr>
        <w:suppressAutoHyphens w:val="0"/>
        <w:spacing w:line="276" w:lineRule="auto"/>
        <w:rPr>
          <w:rFonts w:ascii="Times New Roman" w:eastAsia="Times New Roman" w:hAnsi="Times New Roman"/>
          <w:b/>
          <w:bCs/>
          <w:sz w:val="24"/>
          <w:szCs w:val="24"/>
        </w:rPr>
      </w:pPr>
    </w:p>
    <w:p w14:paraId="0D07E37C" w14:textId="77777777" w:rsidR="0047653A" w:rsidRDefault="0047653A">
      <w:pPr>
        <w:suppressAutoHyphens w:val="0"/>
        <w:spacing w:line="276" w:lineRule="auto"/>
        <w:rPr>
          <w:rFonts w:ascii="Times New Roman" w:eastAsia="Times New Roman" w:hAnsi="Times New Roman"/>
          <w:b/>
          <w:bCs/>
          <w:sz w:val="24"/>
          <w:szCs w:val="24"/>
        </w:rPr>
      </w:pPr>
    </w:p>
    <w:p w14:paraId="02AEC4D9" w14:textId="77777777" w:rsidR="0047653A" w:rsidRDefault="0047653A">
      <w:pPr>
        <w:suppressAutoHyphens w:val="0"/>
        <w:spacing w:line="276" w:lineRule="auto"/>
        <w:rPr>
          <w:rFonts w:ascii="Times New Roman" w:eastAsia="Times New Roman" w:hAnsi="Times New Roman"/>
          <w:b/>
          <w:bCs/>
          <w:sz w:val="24"/>
          <w:szCs w:val="24"/>
        </w:rPr>
      </w:pPr>
    </w:p>
    <w:p w14:paraId="05C2602C" w14:textId="77777777" w:rsidR="0047653A" w:rsidRDefault="00C95746">
      <w:pPr>
        <w:suppressAutoHyphens w:val="0"/>
        <w:spacing w:line="276" w:lineRule="auto"/>
        <w:jc w:val="center"/>
        <w:rPr>
          <w:rFonts w:ascii="Times New Roman" w:eastAsia="Times New Roman" w:hAnsi="Times New Roman"/>
          <w:b/>
          <w:bCs/>
          <w:sz w:val="52"/>
          <w:szCs w:val="52"/>
        </w:rPr>
      </w:pPr>
      <w:r>
        <w:rPr>
          <w:rFonts w:ascii="Times New Roman" w:eastAsia="Times New Roman" w:hAnsi="Times New Roman"/>
          <w:b/>
          <w:bCs/>
          <w:sz w:val="52"/>
          <w:szCs w:val="52"/>
        </w:rPr>
        <w:t xml:space="preserve">Komunikacijska strategija i </w:t>
      </w:r>
    </w:p>
    <w:p w14:paraId="0CF03954" w14:textId="77777777" w:rsidR="0047653A" w:rsidRDefault="00C95746">
      <w:pPr>
        <w:suppressAutoHyphens w:val="0"/>
        <w:spacing w:line="276" w:lineRule="auto"/>
        <w:jc w:val="center"/>
        <w:rPr>
          <w:rFonts w:ascii="Times New Roman" w:eastAsia="Times New Roman" w:hAnsi="Times New Roman"/>
          <w:b/>
          <w:bCs/>
          <w:sz w:val="52"/>
          <w:szCs w:val="52"/>
        </w:rPr>
      </w:pPr>
      <w:r>
        <w:rPr>
          <w:rFonts w:ascii="Times New Roman" w:eastAsia="Times New Roman" w:hAnsi="Times New Roman"/>
          <w:b/>
          <w:bCs/>
          <w:sz w:val="52"/>
          <w:szCs w:val="52"/>
        </w:rPr>
        <w:t xml:space="preserve">Komunikacijski akcijski plan </w:t>
      </w:r>
    </w:p>
    <w:p w14:paraId="76D3FE9B" w14:textId="77777777" w:rsidR="0047653A" w:rsidRDefault="00C95746">
      <w:pPr>
        <w:suppressAutoHyphens w:val="0"/>
        <w:spacing w:line="276" w:lineRule="auto"/>
        <w:jc w:val="center"/>
      </w:pPr>
      <w:r>
        <w:rPr>
          <w:rFonts w:ascii="Times New Roman" w:eastAsia="Times New Roman" w:hAnsi="Times New Roman"/>
          <w:b/>
          <w:bCs/>
          <w:sz w:val="52"/>
          <w:szCs w:val="52"/>
        </w:rPr>
        <w:t>Plana razvoja Bjelovarsko-bilogorske županije 2022.-2027.</w:t>
      </w:r>
    </w:p>
    <w:p w14:paraId="3DDB6C9C" w14:textId="77777777" w:rsidR="0047653A" w:rsidRDefault="0047653A" w:rsidP="006802B2">
      <w:pPr>
        <w:pageBreakBefore/>
        <w:suppressAutoHyphens w:val="0"/>
        <w:spacing w:line="276" w:lineRule="auto"/>
      </w:pPr>
    </w:p>
    <w:p w14:paraId="25E269A0" w14:textId="77777777" w:rsidR="0047653A" w:rsidRPr="006802B2" w:rsidRDefault="00C95746" w:rsidP="006802B2">
      <w:pPr>
        <w:suppressAutoHyphens w:val="0"/>
        <w:spacing w:line="276" w:lineRule="auto"/>
        <w:jc w:val="center"/>
        <w:textAlignment w:val="auto"/>
        <w:rPr>
          <w:rFonts w:ascii="Times New Roman" w:hAnsi="Times New Roman"/>
          <w:b/>
          <w:sz w:val="24"/>
          <w:szCs w:val="24"/>
        </w:rPr>
      </w:pPr>
      <w:r>
        <w:rPr>
          <w:rFonts w:ascii="Times New Roman" w:hAnsi="Times New Roman"/>
          <w:b/>
          <w:sz w:val="24"/>
          <w:szCs w:val="24"/>
        </w:rPr>
        <w:t>SADRŽAJ</w:t>
      </w:r>
    </w:p>
    <w:p w14:paraId="79FAE781" w14:textId="77777777" w:rsidR="0047653A" w:rsidRDefault="0047653A">
      <w:pPr>
        <w:suppressAutoHyphens w:val="0"/>
        <w:spacing w:line="276" w:lineRule="auto"/>
        <w:textAlignment w:val="auto"/>
        <w:rPr>
          <w:rFonts w:ascii="Times New Roman" w:hAnsi="Times New Roman"/>
          <w:sz w:val="24"/>
          <w:szCs w:val="24"/>
        </w:rPr>
      </w:pPr>
    </w:p>
    <w:tbl>
      <w:tblPr>
        <w:tblW w:w="7877" w:type="dxa"/>
        <w:tblCellMar>
          <w:left w:w="10" w:type="dxa"/>
          <w:right w:w="10" w:type="dxa"/>
        </w:tblCellMar>
        <w:tblLook w:val="0000" w:firstRow="0" w:lastRow="0" w:firstColumn="0" w:lastColumn="0" w:noHBand="0" w:noVBand="0"/>
      </w:tblPr>
      <w:tblGrid>
        <w:gridCol w:w="1297"/>
        <w:gridCol w:w="1860"/>
        <w:gridCol w:w="1520"/>
        <w:gridCol w:w="2040"/>
        <w:gridCol w:w="1160"/>
      </w:tblGrid>
      <w:tr w:rsidR="0047653A" w14:paraId="2CAEFBC0" w14:textId="77777777">
        <w:trPr>
          <w:trHeight w:val="315"/>
        </w:trPr>
        <w:tc>
          <w:tcPr>
            <w:tcW w:w="1297" w:type="dxa"/>
            <w:shd w:val="clear" w:color="auto" w:fill="auto"/>
            <w:noWrap/>
            <w:tcMar>
              <w:top w:w="0" w:type="dxa"/>
              <w:left w:w="108" w:type="dxa"/>
              <w:bottom w:w="0" w:type="dxa"/>
              <w:right w:w="108" w:type="dxa"/>
            </w:tcMar>
            <w:vAlign w:val="bottom"/>
          </w:tcPr>
          <w:p w14:paraId="29902B89"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1. Uvod</w:t>
            </w:r>
          </w:p>
        </w:tc>
        <w:tc>
          <w:tcPr>
            <w:tcW w:w="1860" w:type="dxa"/>
            <w:shd w:val="clear" w:color="auto" w:fill="auto"/>
            <w:noWrap/>
            <w:tcMar>
              <w:top w:w="0" w:type="dxa"/>
              <w:left w:w="108" w:type="dxa"/>
              <w:bottom w:w="0" w:type="dxa"/>
              <w:right w:w="108" w:type="dxa"/>
            </w:tcMar>
            <w:vAlign w:val="bottom"/>
          </w:tcPr>
          <w:p w14:paraId="1AE3015C"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tc>
        <w:tc>
          <w:tcPr>
            <w:tcW w:w="1520" w:type="dxa"/>
            <w:shd w:val="clear" w:color="auto" w:fill="auto"/>
            <w:noWrap/>
            <w:tcMar>
              <w:top w:w="0" w:type="dxa"/>
              <w:left w:w="108" w:type="dxa"/>
              <w:bottom w:w="0" w:type="dxa"/>
              <w:right w:w="108" w:type="dxa"/>
            </w:tcMar>
            <w:vAlign w:val="bottom"/>
          </w:tcPr>
          <w:p w14:paraId="11B7F10E"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58A75643"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26A540AD"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p>
        </w:tc>
      </w:tr>
      <w:tr w:rsidR="0047653A" w14:paraId="45F418E2" w14:textId="77777777">
        <w:trPr>
          <w:trHeight w:val="315"/>
        </w:trPr>
        <w:tc>
          <w:tcPr>
            <w:tcW w:w="1297" w:type="dxa"/>
            <w:shd w:val="clear" w:color="auto" w:fill="auto"/>
            <w:noWrap/>
            <w:tcMar>
              <w:top w:w="0" w:type="dxa"/>
              <w:left w:w="108" w:type="dxa"/>
              <w:bottom w:w="0" w:type="dxa"/>
              <w:right w:w="108" w:type="dxa"/>
            </w:tcMar>
            <w:vAlign w:val="bottom"/>
          </w:tcPr>
          <w:p w14:paraId="4FFCB27E" w14:textId="77777777" w:rsidR="0047653A" w:rsidRDefault="0047653A">
            <w:pPr>
              <w:suppressAutoHyphens w:val="0"/>
              <w:spacing w:after="0" w:line="276" w:lineRule="auto"/>
              <w:jc w:val="right"/>
              <w:textAlignment w:val="auto"/>
              <w:rPr>
                <w:rFonts w:ascii="Times New Roman" w:eastAsia="Times New Roman" w:hAnsi="Times New Roman"/>
                <w:color w:val="000000"/>
                <w:sz w:val="24"/>
                <w:szCs w:val="24"/>
                <w:lang w:eastAsia="hr-HR"/>
              </w:rPr>
            </w:pPr>
          </w:p>
        </w:tc>
        <w:tc>
          <w:tcPr>
            <w:tcW w:w="1860" w:type="dxa"/>
            <w:shd w:val="clear" w:color="auto" w:fill="auto"/>
            <w:noWrap/>
            <w:tcMar>
              <w:top w:w="0" w:type="dxa"/>
              <w:left w:w="108" w:type="dxa"/>
              <w:bottom w:w="0" w:type="dxa"/>
              <w:right w:w="108" w:type="dxa"/>
            </w:tcMar>
            <w:vAlign w:val="bottom"/>
          </w:tcPr>
          <w:p w14:paraId="2C585907"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545C1F6F"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6D2EC082"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359C3D9A"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40FD5621" w14:textId="77777777">
        <w:trPr>
          <w:trHeight w:val="315"/>
        </w:trPr>
        <w:tc>
          <w:tcPr>
            <w:tcW w:w="4677" w:type="dxa"/>
            <w:gridSpan w:val="3"/>
            <w:shd w:val="clear" w:color="auto" w:fill="auto"/>
            <w:noWrap/>
            <w:tcMar>
              <w:top w:w="0" w:type="dxa"/>
              <w:left w:w="108" w:type="dxa"/>
              <w:bottom w:w="0" w:type="dxa"/>
              <w:right w:w="108" w:type="dxa"/>
            </w:tcMar>
            <w:vAlign w:val="bottom"/>
          </w:tcPr>
          <w:p w14:paraId="406B6B12"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2. Ciljevi Komunikacijske strategije</w:t>
            </w:r>
          </w:p>
        </w:tc>
        <w:tc>
          <w:tcPr>
            <w:tcW w:w="2040" w:type="dxa"/>
            <w:shd w:val="clear" w:color="auto" w:fill="auto"/>
            <w:noWrap/>
            <w:tcMar>
              <w:top w:w="0" w:type="dxa"/>
              <w:left w:w="108" w:type="dxa"/>
              <w:bottom w:w="0" w:type="dxa"/>
              <w:right w:w="108" w:type="dxa"/>
            </w:tcMar>
            <w:vAlign w:val="bottom"/>
          </w:tcPr>
          <w:p w14:paraId="73F76AA0"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tc>
        <w:tc>
          <w:tcPr>
            <w:tcW w:w="1160" w:type="dxa"/>
            <w:shd w:val="clear" w:color="auto" w:fill="auto"/>
            <w:noWrap/>
            <w:tcMar>
              <w:top w:w="0" w:type="dxa"/>
              <w:left w:w="108" w:type="dxa"/>
              <w:bottom w:w="0" w:type="dxa"/>
              <w:right w:w="108" w:type="dxa"/>
            </w:tcMar>
            <w:vAlign w:val="bottom"/>
          </w:tcPr>
          <w:p w14:paraId="75C27B33"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p>
        </w:tc>
      </w:tr>
      <w:tr w:rsidR="0047653A" w14:paraId="08E30181" w14:textId="77777777">
        <w:trPr>
          <w:trHeight w:val="315"/>
        </w:trPr>
        <w:tc>
          <w:tcPr>
            <w:tcW w:w="3157" w:type="dxa"/>
            <w:gridSpan w:val="2"/>
            <w:shd w:val="clear" w:color="auto" w:fill="auto"/>
            <w:noWrap/>
            <w:tcMar>
              <w:top w:w="0" w:type="dxa"/>
              <w:left w:w="108" w:type="dxa"/>
              <w:bottom w:w="0" w:type="dxa"/>
              <w:right w:w="108" w:type="dxa"/>
            </w:tcMar>
            <w:vAlign w:val="bottom"/>
          </w:tcPr>
          <w:p w14:paraId="51DDFA8B"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2.1. Opći cilj</w:t>
            </w:r>
          </w:p>
        </w:tc>
        <w:tc>
          <w:tcPr>
            <w:tcW w:w="1520" w:type="dxa"/>
            <w:shd w:val="clear" w:color="auto" w:fill="auto"/>
            <w:noWrap/>
            <w:tcMar>
              <w:top w:w="0" w:type="dxa"/>
              <w:left w:w="108" w:type="dxa"/>
              <w:bottom w:w="0" w:type="dxa"/>
              <w:right w:w="108" w:type="dxa"/>
            </w:tcMar>
            <w:vAlign w:val="bottom"/>
          </w:tcPr>
          <w:p w14:paraId="4BE17612"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237B66A2"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501D2360"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p>
        </w:tc>
      </w:tr>
      <w:tr w:rsidR="0047653A" w14:paraId="69541035" w14:textId="77777777">
        <w:trPr>
          <w:trHeight w:val="315"/>
        </w:trPr>
        <w:tc>
          <w:tcPr>
            <w:tcW w:w="3157" w:type="dxa"/>
            <w:gridSpan w:val="2"/>
            <w:shd w:val="clear" w:color="auto" w:fill="auto"/>
            <w:noWrap/>
            <w:tcMar>
              <w:top w:w="0" w:type="dxa"/>
              <w:left w:w="108" w:type="dxa"/>
              <w:bottom w:w="0" w:type="dxa"/>
              <w:right w:w="108" w:type="dxa"/>
            </w:tcMar>
            <w:vAlign w:val="bottom"/>
          </w:tcPr>
          <w:p w14:paraId="07BD6D5C"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2.2. Specifični ciljevi</w:t>
            </w:r>
          </w:p>
        </w:tc>
        <w:tc>
          <w:tcPr>
            <w:tcW w:w="1520" w:type="dxa"/>
            <w:shd w:val="clear" w:color="auto" w:fill="auto"/>
            <w:noWrap/>
            <w:tcMar>
              <w:top w:w="0" w:type="dxa"/>
              <w:left w:w="108" w:type="dxa"/>
              <w:bottom w:w="0" w:type="dxa"/>
              <w:right w:w="108" w:type="dxa"/>
            </w:tcMar>
            <w:vAlign w:val="bottom"/>
          </w:tcPr>
          <w:p w14:paraId="09191E71"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23B19B7C"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6FA6B3FE"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p>
        </w:tc>
      </w:tr>
      <w:tr w:rsidR="0047653A" w14:paraId="135494EA" w14:textId="77777777">
        <w:trPr>
          <w:trHeight w:val="315"/>
        </w:trPr>
        <w:tc>
          <w:tcPr>
            <w:tcW w:w="4677" w:type="dxa"/>
            <w:gridSpan w:val="3"/>
            <w:shd w:val="clear" w:color="auto" w:fill="auto"/>
            <w:noWrap/>
            <w:tcMar>
              <w:top w:w="0" w:type="dxa"/>
              <w:left w:w="108" w:type="dxa"/>
              <w:bottom w:w="0" w:type="dxa"/>
              <w:right w:w="108" w:type="dxa"/>
            </w:tcMar>
            <w:vAlign w:val="bottom"/>
          </w:tcPr>
          <w:p w14:paraId="58FEA1AF"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2.3. Pokazatelji ostvarenja ciljeva</w:t>
            </w:r>
          </w:p>
        </w:tc>
        <w:tc>
          <w:tcPr>
            <w:tcW w:w="2040" w:type="dxa"/>
            <w:shd w:val="clear" w:color="auto" w:fill="auto"/>
            <w:noWrap/>
            <w:tcMar>
              <w:top w:w="0" w:type="dxa"/>
              <w:left w:w="108" w:type="dxa"/>
              <w:bottom w:w="0" w:type="dxa"/>
              <w:right w:w="108" w:type="dxa"/>
            </w:tcMar>
            <w:vAlign w:val="bottom"/>
          </w:tcPr>
          <w:p w14:paraId="3B8DAE03"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1160" w:type="dxa"/>
            <w:shd w:val="clear" w:color="auto" w:fill="auto"/>
            <w:noWrap/>
            <w:tcMar>
              <w:top w:w="0" w:type="dxa"/>
              <w:left w:w="108" w:type="dxa"/>
              <w:bottom w:w="0" w:type="dxa"/>
              <w:right w:w="108" w:type="dxa"/>
            </w:tcMar>
            <w:vAlign w:val="bottom"/>
          </w:tcPr>
          <w:p w14:paraId="45597119"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p>
        </w:tc>
      </w:tr>
      <w:tr w:rsidR="0047653A" w14:paraId="761C993A" w14:textId="77777777">
        <w:trPr>
          <w:trHeight w:val="315"/>
        </w:trPr>
        <w:tc>
          <w:tcPr>
            <w:tcW w:w="1297" w:type="dxa"/>
            <w:shd w:val="clear" w:color="auto" w:fill="auto"/>
            <w:noWrap/>
            <w:tcMar>
              <w:top w:w="0" w:type="dxa"/>
              <w:left w:w="108" w:type="dxa"/>
              <w:bottom w:w="0" w:type="dxa"/>
              <w:right w:w="108" w:type="dxa"/>
            </w:tcMar>
            <w:vAlign w:val="bottom"/>
          </w:tcPr>
          <w:p w14:paraId="2EE19DC4" w14:textId="77777777" w:rsidR="0047653A" w:rsidRDefault="0047653A">
            <w:pPr>
              <w:suppressAutoHyphens w:val="0"/>
              <w:spacing w:after="0" w:line="276" w:lineRule="auto"/>
              <w:jc w:val="right"/>
              <w:textAlignment w:val="auto"/>
              <w:rPr>
                <w:rFonts w:ascii="Times New Roman" w:eastAsia="Times New Roman" w:hAnsi="Times New Roman"/>
                <w:color w:val="000000"/>
                <w:sz w:val="24"/>
                <w:szCs w:val="24"/>
                <w:lang w:eastAsia="hr-HR"/>
              </w:rPr>
            </w:pPr>
          </w:p>
        </w:tc>
        <w:tc>
          <w:tcPr>
            <w:tcW w:w="1860" w:type="dxa"/>
            <w:shd w:val="clear" w:color="auto" w:fill="auto"/>
            <w:noWrap/>
            <w:tcMar>
              <w:top w:w="0" w:type="dxa"/>
              <w:left w:w="108" w:type="dxa"/>
              <w:bottom w:w="0" w:type="dxa"/>
              <w:right w:w="108" w:type="dxa"/>
            </w:tcMar>
            <w:vAlign w:val="bottom"/>
          </w:tcPr>
          <w:p w14:paraId="206E29FE"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3D4DBB2F"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6A12BF9B"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6C4D8CB9"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0E517A8A" w14:textId="77777777">
        <w:trPr>
          <w:trHeight w:val="315"/>
        </w:trPr>
        <w:tc>
          <w:tcPr>
            <w:tcW w:w="4677" w:type="dxa"/>
            <w:gridSpan w:val="3"/>
            <w:shd w:val="clear" w:color="auto" w:fill="auto"/>
            <w:noWrap/>
            <w:tcMar>
              <w:top w:w="0" w:type="dxa"/>
              <w:left w:w="108" w:type="dxa"/>
              <w:bottom w:w="0" w:type="dxa"/>
              <w:right w:w="108" w:type="dxa"/>
            </w:tcMar>
            <w:vAlign w:val="bottom"/>
          </w:tcPr>
          <w:p w14:paraId="422F485F"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 Komunikacijske mjere i alati</w:t>
            </w:r>
          </w:p>
        </w:tc>
        <w:tc>
          <w:tcPr>
            <w:tcW w:w="2040" w:type="dxa"/>
            <w:shd w:val="clear" w:color="auto" w:fill="auto"/>
            <w:noWrap/>
            <w:tcMar>
              <w:top w:w="0" w:type="dxa"/>
              <w:left w:w="108" w:type="dxa"/>
              <w:bottom w:w="0" w:type="dxa"/>
              <w:right w:w="108" w:type="dxa"/>
            </w:tcMar>
            <w:vAlign w:val="bottom"/>
          </w:tcPr>
          <w:p w14:paraId="2AF8398F"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tc>
        <w:tc>
          <w:tcPr>
            <w:tcW w:w="1160" w:type="dxa"/>
            <w:shd w:val="clear" w:color="auto" w:fill="auto"/>
            <w:noWrap/>
            <w:tcMar>
              <w:top w:w="0" w:type="dxa"/>
              <w:left w:w="108" w:type="dxa"/>
              <w:bottom w:w="0" w:type="dxa"/>
              <w:right w:w="108" w:type="dxa"/>
            </w:tcMar>
            <w:vAlign w:val="bottom"/>
          </w:tcPr>
          <w:p w14:paraId="0FC4DCA6"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p>
        </w:tc>
      </w:tr>
      <w:tr w:rsidR="0047653A" w14:paraId="4E9FD5B6" w14:textId="77777777">
        <w:trPr>
          <w:trHeight w:val="315"/>
        </w:trPr>
        <w:tc>
          <w:tcPr>
            <w:tcW w:w="3157" w:type="dxa"/>
            <w:gridSpan w:val="2"/>
            <w:shd w:val="clear" w:color="auto" w:fill="auto"/>
            <w:noWrap/>
            <w:tcMar>
              <w:top w:w="0" w:type="dxa"/>
              <w:left w:w="108" w:type="dxa"/>
              <w:bottom w:w="0" w:type="dxa"/>
              <w:right w:w="108" w:type="dxa"/>
            </w:tcMar>
            <w:vAlign w:val="bottom"/>
          </w:tcPr>
          <w:p w14:paraId="66D6B661"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3.1. Komunikacijske mjere</w:t>
            </w:r>
          </w:p>
        </w:tc>
        <w:tc>
          <w:tcPr>
            <w:tcW w:w="1520" w:type="dxa"/>
            <w:shd w:val="clear" w:color="auto" w:fill="auto"/>
            <w:noWrap/>
            <w:tcMar>
              <w:top w:w="0" w:type="dxa"/>
              <w:left w:w="108" w:type="dxa"/>
              <w:bottom w:w="0" w:type="dxa"/>
              <w:right w:w="108" w:type="dxa"/>
            </w:tcMar>
            <w:vAlign w:val="bottom"/>
          </w:tcPr>
          <w:p w14:paraId="561F948F"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14930C51"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684C3526"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p>
        </w:tc>
      </w:tr>
      <w:tr w:rsidR="0047653A" w14:paraId="37113570" w14:textId="77777777">
        <w:trPr>
          <w:trHeight w:val="315"/>
        </w:trPr>
        <w:tc>
          <w:tcPr>
            <w:tcW w:w="3157" w:type="dxa"/>
            <w:gridSpan w:val="2"/>
            <w:shd w:val="clear" w:color="auto" w:fill="auto"/>
            <w:noWrap/>
            <w:tcMar>
              <w:top w:w="0" w:type="dxa"/>
              <w:left w:w="108" w:type="dxa"/>
              <w:bottom w:w="0" w:type="dxa"/>
              <w:right w:w="108" w:type="dxa"/>
            </w:tcMar>
            <w:vAlign w:val="bottom"/>
          </w:tcPr>
          <w:p w14:paraId="64D677F7"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3.2. Komunikacijske poruke</w:t>
            </w:r>
          </w:p>
        </w:tc>
        <w:tc>
          <w:tcPr>
            <w:tcW w:w="1520" w:type="dxa"/>
            <w:shd w:val="clear" w:color="auto" w:fill="auto"/>
            <w:noWrap/>
            <w:tcMar>
              <w:top w:w="0" w:type="dxa"/>
              <w:left w:w="108" w:type="dxa"/>
              <w:bottom w:w="0" w:type="dxa"/>
              <w:right w:w="108" w:type="dxa"/>
            </w:tcMar>
            <w:vAlign w:val="bottom"/>
          </w:tcPr>
          <w:p w14:paraId="12C51833"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2E3E0B5C"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1D46900E"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r>
      <w:tr w:rsidR="0047653A" w14:paraId="47ABEB41" w14:textId="77777777">
        <w:trPr>
          <w:trHeight w:val="315"/>
        </w:trPr>
        <w:tc>
          <w:tcPr>
            <w:tcW w:w="3157" w:type="dxa"/>
            <w:gridSpan w:val="2"/>
            <w:shd w:val="clear" w:color="auto" w:fill="auto"/>
            <w:noWrap/>
            <w:tcMar>
              <w:top w:w="0" w:type="dxa"/>
              <w:left w:w="108" w:type="dxa"/>
              <w:bottom w:w="0" w:type="dxa"/>
              <w:right w:w="108" w:type="dxa"/>
            </w:tcMar>
            <w:vAlign w:val="bottom"/>
          </w:tcPr>
          <w:p w14:paraId="2A3BE70D"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3.3. Komunikacijski alati</w:t>
            </w:r>
          </w:p>
        </w:tc>
        <w:tc>
          <w:tcPr>
            <w:tcW w:w="1520" w:type="dxa"/>
            <w:shd w:val="clear" w:color="auto" w:fill="auto"/>
            <w:noWrap/>
            <w:tcMar>
              <w:top w:w="0" w:type="dxa"/>
              <w:left w:w="108" w:type="dxa"/>
              <w:bottom w:w="0" w:type="dxa"/>
              <w:right w:w="108" w:type="dxa"/>
            </w:tcMar>
            <w:vAlign w:val="bottom"/>
          </w:tcPr>
          <w:p w14:paraId="571B9DA3"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597B4DBB"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6A61DEC4"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r>
      <w:tr w:rsidR="0047653A" w14:paraId="53C7D950" w14:textId="77777777">
        <w:trPr>
          <w:trHeight w:val="315"/>
        </w:trPr>
        <w:tc>
          <w:tcPr>
            <w:tcW w:w="1297" w:type="dxa"/>
            <w:shd w:val="clear" w:color="auto" w:fill="auto"/>
            <w:noWrap/>
            <w:tcMar>
              <w:top w:w="0" w:type="dxa"/>
              <w:left w:w="108" w:type="dxa"/>
              <w:bottom w:w="0" w:type="dxa"/>
              <w:right w:w="108" w:type="dxa"/>
            </w:tcMar>
            <w:vAlign w:val="bottom"/>
          </w:tcPr>
          <w:p w14:paraId="296D0597" w14:textId="77777777" w:rsidR="0047653A" w:rsidRDefault="0047653A">
            <w:pPr>
              <w:suppressAutoHyphens w:val="0"/>
              <w:spacing w:after="0" w:line="276" w:lineRule="auto"/>
              <w:jc w:val="right"/>
              <w:textAlignment w:val="auto"/>
              <w:rPr>
                <w:rFonts w:ascii="Times New Roman" w:eastAsia="Times New Roman" w:hAnsi="Times New Roman"/>
                <w:color w:val="000000"/>
                <w:sz w:val="24"/>
                <w:szCs w:val="24"/>
                <w:lang w:eastAsia="hr-HR"/>
              </w:rPr>
            </w:pPr>
          </w:p>
        </w:tc>
        <w:tc>
          <w:tcPr>
            <w:tcW w:w="1860" w:type="dxa"/>
            <w:shd w:val="clear" w:color="auto" w:fill="auto"/>
            <w:noWrap/>
            <w:tcMar>
              <w:top w:w="0" w:type="dxa"/>
              <w:left w:w="108" w:type="dxa"/>
              <w:bottom w:w="0" w:type="dxa"/>
              <w:right w:w="108" w:type="dxa"/>
            </w:tcMar>
            <w:vAlign w:val="bottom"/>
          </w:tcPr>
          <w:p w14:paraId="567C37B0"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76713FDD"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71ABF4D2"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6CDC2016"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3CD9523D" w14:textId="77777777">
        <w:trPr>
          <w:trHeight w:val="315"/>
        </w:trPr>
        <w:tc>
          <w:tcPr>
            <w:tcW w:w="3157" w:type="dxa"/>
            <w:gridSpan w:val="2"/>
            <w:shd w:val="clear" w:color="auto" w:fill="auto"/>
            <w:noWrap/>
            <w:tcMar>
              <w:top w:w="0" w:type="dxa"/>
              <w:left w:w="108" w:type="dxa"/>
              <w:bottom w:w="0" w:type="dxa"/>
              <w:right w:w="108" w:type="dxa"/>
            </w:tcMar>
            <w:vAlign w:val="bottom"/>
          </w:tcPr>
          <w:p w14:paraId="34E8AC80"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 Ciljne skupine</w:t>
            </w:r>
          </w:p>
        </w:tc>
        <w:tc>
          <w:tcPr>
            <w:tcW w:w="1520" w:type="dxa"/>
            <w:shd w:val="clear" w:color="auto" w:fill="auto"/>
            <w:noWrap/>
            <w:tcMar>
              <w:top w:w="0" w:type="dxa"/>
              <w:left w:w="108" w:type="dxa"/>
              <w:bottom w:w="0" w:type="dxa"/>
              <w:right w:w="108" w:type="dxa"/>
            </w:tcMar>
            <w:vAlign w:val="bottom"/>
          </w:tcPr>
          <w:p w14:paraId="5D2E8D8E"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5DF95F5E"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42CC90BC"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r>
      <w:tr w:rsidR="0047653A" w14:paraId="5A4D29D5" w14:textId="77777777">
        <w:trPr>
          <w:trHeight w:val="315"/>
        </w:trPr>
        <w:tc>
          <w:tcPr>
            <w:tcW w:w="1297" w:type="dxa"/>
            <w:shd w:val="clear" w:color="auto" w:fill="auto"/>
            <w:noWrap/>
            <w:tcMar>
              <w:top w:w="0" w:type="dxa"/>
              <w:left w:w="108" w:type="dxa"/>
              <w:bottom w:w="0" w:type="dxa"/>
              <w:right w:w="108" w:type="dxa"/>
            </w:tcMar>
            <w:vAlign w:val="bottom"/>
          </w:tcPr>
          <w:p w14:paraId="7834D51C" w14:textId="77777777" w:rsidR="0047653A" w:rsidRDefault="0047653A">
            <w:pPr>
              <w:suppressAutoHyphens w:val="0"/>
              <w:spacing w:after="0" w:line="276" w:lineRule="auto"/>
              <w:jc w:val="right"/>
              <w:textAlignment w:val="auto"/>
              <w:rPr>
                <w:rFonts w:ascii="Times New Roman" w:eastAsia="Times New Roman" w:hAnsi="Times New Roman"/>
                <w:color w:val="000000"/>
                <w:sz w:val="24"/>
                <w:szCs w:val="24"/>
                <w:lang w:eastAsia="hr-HR"/>
              </w:rPr>
            </w:pPr>
          </w:p>
        </w:tc>
        <w:tc>
          <w:tcPr>
            <w:tcW w:w="1860" w:type="dxa"/>
            <w:shd w:val="clear" w:color="auto" w:fill="auto"/>
            <w:noWrap/>
            <w:tcMar>
              <w:top w:w="0" w:type="dxa"/>
              <w:left w:w="108" w:type="dxa"/>
              <w:bottom w:w="0" w:type="dxa"/>
              <w:right w:w="108" w:type="dxa"/>
            </w:tcMar>
            <w:vAlign w:val="bottom"/>
          </w:tcPr>
          <w:p w14:paraId="1DE0830B"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490FF7D1"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04A2D6F5"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761D3A29"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171F36FC" w14:textId="77777777">
        <w:trPr>
          <w:trHeight w:val="315"/>
        </w:trPr>
        <w:tc>
          <w:tcPr>
            <w:tcW w:w="6717" w:type="dxa"/>
            <w:gridSpan w:val="4"/>
            <w:shd w:val="clear" w:color="auto" w:fill="auto"/>
            <w:noWrap/>
            <w:tcMar>
              <w:top w:w="0" w:type="dxa"/>
              <w:left w:w="108" w:type="dxa"/>
              <w:bottom w:w="0" w:type="dxa"/>
              <w:right w:w="108" w:type="dxa"/>
            </w:tcMar>
            <w:vAlign w:val="bottom"/>
          </w:tcPr>
          <w:p w14:paraId="5D4AC2CB"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5. Vrednovanje uspješnosti Komunikacijske strategije</w:t>
            </w:r>
          </w:p>
        </w:tc>
        <w:tc>
          <w:tcPr>
            <w:tcW w:w="1160" w:type="dxa"/>
            <w:shd w:val="clear" w:color="auto" w:fill="auto"/>
            <w:noWrap/>
            <w:tcMar>
              <w:top w:w="0" w:type="dxa"/>
              <w:left w:w="108" w:type="dxa"/>
              <w:bottom w:w="0" w:type="dxa"/>
              <w:right w:w="108" w:type="dxa"/>
            </w:tcMar>
            <w:vAlign w:val="bottom"/>
          </w:tcPr>
          <w:p w14:paraId="181FCD99"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w:t>
            </w:r>
          </w:p>
        </w:tc>
      </w:tr>
      <w:tr w:rsidR="0047653A" w14:paraId="22AA531D" w14:textId="77777777">
        <w:trPr>
          <w:trHeight w:val="315"/>
        </w:trPr>
        <w:tc>
          <w:tcPr>
            <w:tcW w:w="1297" w:type="dxa"/>
            <w:shd w:val="clear" w:color="auto" w:fill="auto"/>
            <w:noWrap/>
            <w:tcMar>
              <w:top w:w="0" w:type="dxa"/>
              <w:left w:w="108" w:type="dxa"/>
              <w:bottom w:w="0" w:type="dxa"/>
              <w:right w:w="108" w:type="dxa"/>
            </w:tcMar>
            <w:vAlign w:val="bottom"/>
          </w:tcPr>
          <w:p w14:paraId="238D1134" w14:textId="77777777" w:rsidR="0047653A" w:rsidRDefault="0047653A">
            <w:pPr>
              <w:suppressAutoHyphens w:val="0"/>
              <w:spacing w:after="0" w:line="276" w:lineRule="auto"/>
              <w:jc w:val="right"/>
              <w:textAlignment w:val="auto"/>
              <w:rPr>
                <w:rFonts w:ascii="Times New Roman" w:eastAsia="Times New Roman" w:hAnsi="Times New Roman"/>
                <w:color w:val="000000"/>
                <w:sz w:val="24"/>
                <w:szCs w:val="24"/>
                <w:lang w:eastAsia="hr-HR"/>
              </w:rPr>
            </w:pPr>
          </w:p>
        </w:tc>
        <w:tc>
          <w:tcPr>
            <w:tcW w:w="1860" w:type="dxa"/>
            <w:shd w:val="clear" w:color="auto" w:fill="auto"/>
            <w:noWrap/>
            <w:tcMar>
              <w:top w:w="0" w:type="dxa"/>
              <w:left w:w="108" w:type="dxa"/>
              <w:bottom w:w="0" w:type="dxa"/>
              <w:right w:w="108" w:type="dxa"/>
            </w:tcMar>
            <w:vAlign w:val="bottom"/>
          </w:tcPr>
          <w:p w14:paraId="75D9BF72"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3D926429"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34195A87"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4BB2BA85"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21A1CC8B" w14:textId="77777777">
        <w:trPr>
          <w:trHeight w:val="315"/>
        </w:trPr>
        <w:tc>
          <w:tcPr>
            <w:tcW w:w="4677" w:type="dxa"/>
            <w:gridSpan w:val="3"/>
            <w:shd w:val="clear" w:color="auto" w:fill="auto"/>
            <w:noWrap/>
            <w:tcMar>
              <w:top w:w="0" w:type="dxa"/>
              <w:left w:w="108" w:type="dxa"/>
              <w:bottom w:w="0" w:type="dxa"/>
              <w:right w:w="108" w:type="dxa"/>
            </w:tcMar>
            <w:vAlign w:val="bottom"/>
          </w:tcPr>
          <w:p w14:paraId="7B434E5B"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 Komunikacijski akcijski plan</w:t>
            </w:r>
          </w:p>
        </w:tc>
        <w:tc>
          <w:tcPr>
            <w:tcW w:w="2040" w:type="dxa"/>
            <w:shd w:val="clear" w:color="auto" w:fill="auto"/>
            <w:noWrap/>
            <w:tcMar>
              <w:top w:w="0" w:type="dxa"/>
              <w:left w:w="108" w:type="dxa"/>
              <w:bottom w:w="0" w:type="dxa"/>
              <w:right w:w="108" w:type="dxa"/>
            </w:tcMar>
            <w:vAlign w:val="bottom"/>
          </w:tcPr>
          <w:p w14:paraId="6021FC8E"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tc>
        <w:tc>
          <w:tcPr>
            <w:tcW w:w="1160" w:type="dxa"/>
            <w:shd w:val="clear" w:color="auto" w:fill="auto"/>
            <w:noWrap/>
            <w:tcMar>
              <w:top w:w="0" w:type="dxa"/>
              <w:left w:w="108" w:type="dxa"/>
              <w:bottom w:w="0" w:type="dxa"/>
              <w:right w:w="108" w:type="dxa"/>
            </w:tcMar>
            <w:vAlign w:val="bottom"/>
          </w:tcPr>
          <w:p w14:paraId="12E2CB66"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r>
      <w:tr w:rsidR="0047653A" w14:paraId="503322D5" w14:textId="77777777">
        <w:trPr>
          <w:trHeight w:val="315"/>
        </w:trPr>
        <w:tc>
          <w:tcPr>
            <w:tcW w:w="1297" w:type="dxa"/>
            <w:shd w:val="clear" w:color="auto" w:fill="auto"/>
            <w:noWrap/>
            <w:tcMar>
              <w:top w:w="0" w:type="dxa"/>
              <w:left w:w="108" w:type="dxa"/>
              <w:bottom w:w="0" w:type="dxa"/>
              <w:right w:w="108" w:type="dxa"/>
            </w:tcMar>
            <w:vAlign w:val="bottom"/>
          </w:tcPr>
          <w:p w14:paraId="5730A4B8" w14:textId="77777777" w:rsidR="0047653A" w:rsidRDefault="0047653A">
            <w:pPr>
              <w:suppressAutoHyphens w:val="0"/>
              <w:spacing w:after="0" w:line="276" w:lineRule="auto"/>
              <w:jc w:val="right"/>
              <w:textAlignment w:val="auto"/>
              <w:rPr>
                <w:rFonts w:ascii="Times New Roman" w:eastAsia="Times New Roman" w:hAnsi="Times New Roman"/>
                <w:color w:val="000000"/>
                <w:sz w:val="24"/>
                <w:szCs w:val="24"/>
                <w:lang w:eastAsia="hr-HR"/>
              </w:rPr>
            </w:pPr>
          </w:p>
        </w:tc>
        <w:tc>
          <w:tcPr>
            <w:tcW w:w="1860" w:type="dxa"/>
            <w:shd w:val="clear" w:color="auto" w:fill="auto"/>
            <w:noWrap/>
            <w:tcMar>
              <w:top w:w="0" w:type="dxa"/>
              <w:left w:w="108" w:type="dxa"/>
              <w:bottom w:w="0" w:type="dxa"/>
              <w:right w:w="108" w:type="dxa"/>
            </w:tcMar>
            <w:vAlign w:val="bottom"/>
          </w:tcPr>
          <w:p w14:paraId="002C17D7"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369B4349"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7D71197D"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76EBD40E"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60C826F0" w14:textId="77777777">
        <w:trPr>
          <w:trHeight w:val="315"/>
        </w:trPr>
        <w:tc>
          <w:tcPr>
            <w:tcW w:w="1297" w:type="dxa"/>
            <w:shd w:val="clear" w:color="auto" w:fill="auto"/>
            <w:noWrap/>
            <w:tcMar>
              <w:top w:w="0" w:type="dxa"/>
              <w:left w:w="108" w:type="dxa"/>
              <w:bottom w:w="0" w:type="dxa"/>
              <w:right w:w="108" w:type="dxa"/>
            </w:tcMar>
            <w:vAlign w:val="bottom"/>
          </w:tcPr>
          <w:p w14:paraId="54CC280F"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p w14:paraId="3729A9C2" w14:textId="77777777" w:rsidR="0047653A" w:rsidRDefault="00C95746">
            <w:pPr>
              <w:suppressAutoHyphens w:val="0"/>
              <w:spacing w:after="0" w:line="276" w:lineRule="auto"/>
              <w:textAlignment w:val="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TABLICE</w:t>
            </w:r>
          </w:p>
        </w:tc>
        <w:tc>
          <w:tcPr>
            <w:tcW w:w="1860" w:type="dxa"/>
            <w:shd w:val="clear" w:color="auto" w:fill="auto"/>
            <w:noWrap/>
            <w:tcMar>
              <w:top w:w="0" w:type="dxa"/>
              <w:left w:w="108" w:type="dxa"/>
              <w:bottom w:w="0" w:type="dxa"/>
              <w:right w:w="108" w:type="dxa"/>
            </w:tcMar>
            <w:vAlign w:val="bottom"/>
          </w:tcPr>
          <w:p w14:paraId="546236F1" w14:textId="77777777" w:rsidR="0047653A" w:rsidRDefault="0047653A">
            <w:pPr>
              <w:suppressAutoHyphens w:val="0"/>
              <w:spacing w:after="0" w:line="276" w:lineRule="auto"/>
              <w:textAlignment w:val="auto"/>
              <w:rPr>
                <w:rFonts w:ascii="Times New Roman" w:eastAsia="Times New Roman" w:hAnsi="Times New Roman"/>
                <w:b/>
                <w:bCs/>
                <w:color w:val="000000"/>
                <w:sz w:val="24"/>
                <w:szCs w:val="24"/>
                <w:lang w:eastAsia="hr-HR"/>
              </w:rPr>
            </w:pPr>
          </w:p>
        </w:tc>
        <w:tc>
          <w:tcPr>
            <w:tcW w:w="1520" w:type="dxa"/>
            <w:shd w:val="clear" w:color="auto" w:fill="auto"/>
            <w:noWrap/>
            <w:tcMar>
              <w:top w:w="0" w:type="dxa"/>
              <w:left w:w="108" w:type="dxa"/>
              <w:bottom w:w="0" w:type="dxa"/>
              <w:right w:w="108" w:type="dxa"/>
            </w:tcMar>
            <w:vAlign w:val="bottom"/>
          </w:tcPr>
          <w:p w14:paraId="56E28F9F"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4CAC98F5"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1474D2D0"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17F0761A" w14:textId="77777777">
        <w:trPr>
          <w:trHeight w:val="315"/>
        </w:trPr>
        <w:tc>
          <w:tcPr>
            <w:tcW w:w="1297" w:type="dxa"/>
            <w:shd w:val="clear" w:color="auto" w:fill="auto"/>
            <w:noWrap/>
            <w:tcMar>
              <w:top w:w="0" w:type="dxa"/>
              <w:left w:w="108" w:type="dxa"/>
              <w:bottom w:w="0" w:type="dxa"/>
              <w:right w:w="108" w:type="dxa"/>
            </w:tcMar>
            <w:vAlign w:val="bottom"/>
          </w:tcPr>
          <w:p w14:paraId="798AB9EC"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860" w:type="dxa"/>
            <w:shd w:val="clear" w:color="auto" w:fill="auto"/>
            <w:noWrap/>
            <w:tcMar>
              <w:top w:w="0" w:type="dxa"/>
              <w:left w:w="108" w:type="dxa"/>
              <w:bottom w:w="0" w:type="dxa"/>
              <w:right w:w="108" w:type="dxa"/>
            </w:tcMar>
            <w:vAlign w:val="bottom"/>
          </w:tcPr>
          <w:p w14:paraId="5A0B92C9"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520" w:type="dxa"/>
            <w:shd w:val="clear" w:color="auto" w:fill="auto"/>
            <w:noWrap/>
            <w:tcMar>
              <w:top w:w="0" w:type="dxa"/>
              <w:left w:w="108" w:type="dxa"/>
              <w:bottom w:w="0" w:type="dxa"/>
              <w:right w:w="108" w:type="dxa"/>
            </w:tcMar>
            <w:vAlign w:val="bottom"/>
          </w:tcPr>
          <w:p w14:paraId="090B1332"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2040" w:type="dxa"/>
            <w:shd w:val="clear" w:color="auto" w:fill="auto"/>
            <w:noWrap/>
            <w:tcMar>
              <w:top w:w="0" w:type="dxa"/>
              <w:left w:w="108" w:type="dxa"/>
              <w:bottom w:w="0" w:type="dxa"/>
              <w:right w:w="108" w:type="dxa"/>
            </w:tcMar>
            <w:vAlign w:val="bottom"/>
          </w:tcPr>
          <w:p w14:paraId="08EC2768"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66B063C5"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r>
      <w:tr w:rsidR="0047653A" w14:paraId="13128EB1" w14:textId="77777777">
        <w:trPr>
          <w:trHeight w:val="315"/>
        </w:trPr>
        <w:tc>
          <w:tcPr>
            <w:tcW w:w="4677" w:type="dxa"/>
            <w:gridSpan w:val="3"/>
            <w:shd w:val="clear" w:color="auto" w:fill="auto"/>
            <w:noWrap/>
            <w:tcMar>
              <w:top w:w="0" w:type="dxa"/>
              <w:left w:w="108" w:type="dxa"/>
              <w:bottom w:w="0" w:type="dxa"/>
              <w:right w:w="108" w:type="dxa"/>
            </w:tcMar>
            <w:vAlign w:val="bottom"/>
          </w:tcPr>
          <w:p w14:paraId="7EEF8EBF"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Tablica 1. Prikaz pokazatelja uspješnosti</w:t>
            </w:r>
          </w:p>
        </w:tc>
        <w:tc>
          <w:tcPr>
            <w:tcW w:w="2040" w:type="dxa"/>
            <w:shd w:val="clear" w:color="auto" w:fill="auto"/>
            <w:noWrap/>
            <w:tcMar>
              <w:top w:w="0" w:type="dxa"/>
              <w:left w:w="108" w:type="dxa"/>
              <w:bottom w:w="0" w:type="dxa"/>
              <w:right w:w="108" w:type="dxa"/>
            </w:tcMar>
            <w:vAlign w:val="bottom"/>
          </w:tcPr>
          <w:p w14:paraId="47442448"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1160" w:type="dxa"/>
            <w:shd w:val="clear" w:color="auto" w:fill="auto"/>
            <w:noWrap/>
            <w:tcMar>
              <w:top w:w="0" w:type="dxa"/>
              <w:left w:w="108" w:type="dxa"/>
              <w:bottom w:w="0" w:type="dxa"/>
              <w:right w:w="108" w:type="dxa"/>
            </w:tcMar>
            <w:vAlign w:val="bottom"/>
          </w:tcPr>
          <w:p w14:paraId="1C30B167"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w:t>
            </w:r>
          </w:p>
        </w:tc>
      </w:tr>
      <w:tr w:rsidR="0047653A" w14:paraId="7E70026C" w14:textId="77777777">
        <w:trPr>
          <w:trHeight w:val="315"/>
        </w:trPr>
        <w:tc>
          <w:tcPr>
            <w:tcW w:w="3157" w:type="dxa"/>
            <w:gridSpan w:val="2"/>
            <w:shd w:val="clear" w:color="auto" w:fill="auto"/>
            <w:noWrap/>
            <w:tcMar>
              <w:top w:w="0" w:type="dxa"/>
              <w:left w:w="108" w:type="dxa"/>
              <w:bottom w:w="0" w:type="dxa"/>
              <w:right w:w="108" w:type="dxa"/>
            </w:tcMar>
            <w:vAlign w:val="bottom"/>
          </w:tcPr>
          <w:p w14:paraId="49F8E0B6" w14:textId="77777777" w:rsidR="0047653A" w:rsidRDefault="00C95746">
            <w:pPr>
              <w:suppressAutoHyphens w:val="0"/>
              <w:spacing w:after="0" w:line="276" w:lineRule="auto"/>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Tablica 2. Akcijski plan</w:t>
            </w:r>
          </w:p>
        </w:tc>
        <w:tc>
          <w:tcPr>
            <w:tcW w:w="1520" w:type="dxa"/>
            <w:shd w:val="clear" w:color="auto" w:fill="auto"/>
            <w:noWrap/>
            <w:tcMar>
              <w:top w:w="0" w:type="dxa"/>
              <w:left w:w="108" w:type="dxa"/>
              <w:bottom w:w="0" w:type="dxa"/>
              <w:right w:w="108" w:type="dxa"/>
            </w:tcMar>
            <w:vAlign w:val="bottom"/>
          </w:tcPr>
          <w:p w14:paraId="6BD179BC" w14:textId="77777777" w:rsidR="0047653A" w:rsidRDefault="0047653A">
            <w:pPr>
              <w:suppressAutoHyphens w:val="0"/>
              <w:spacing w:after="0" w:line="276" w:lineRule="auto"/>
              <w:textAlignment w:val="auto"/>
              <w:rPr>
                <w:rFonts w:ascii="Times New Roman" w:eastAsia="Times New Roman" w:hAnsi="Times New Roman"/>
                <w:color w:val="000000"/>
                <w:sz w:val="24"/>
                <w:szCs w:val="24"/>
                <w:lang w:eastAsia="hr-HR"/>
              </w:rPr>
            </w:pPr>
          </w:p>
        </w:tc>
        <w:tc>
          <w:tcPr>
            <w:tcW w:w="2040" w:type="dxa"/>
            <w:shd w:val="clear" w:color="auto" w:fill="auto"/>
            <w:noWrap/>
            <w:tcMar>
              <w:top w:w="0" w:type="dxa"/>
              <w:left w:w="108" w:type="dxa"/>
              <w:bottom w:w="0" w:type="dxa"/>
              <w:right w:w="108" w:type="dxa"/>
            </w:tcMar>
            <w:vAlign w:val="bottom"/>
          </w:tcPr>
          <w:p w14:paraId="5E381669" w14:textId="77777777" w:rsidR="0047653A" w:rsidRDefault="0047653A">
            <w:pPr>
              <w:suppressAutoHyphens w:val="0"/>
              <w:spacing w:after="0" w:line="276" w:lineRule="auto"/>
              <w:textAlignment w:val="auto"/>
              <w:rPr>
                <w:rFonts w:ascii="Times New Roman" w:eastAsia="Times New Roman" w:hAnsi="Times New Roman"/>
                <w:sz w:val="20"/>
                <w:szCs w:val="20"/>
                <w:lang w:eastAsia="hr-HR"/>
              </w:rPr>
            </w:pPr>
          </w:p>
        </w:tc>
        <w:tc>
          <w:tcPr>
            <w:tcW w:w="1160" w:type="dxa"/>
            <w:shd w:val="clear" w:color="auto" w:fill="auto"/>
            <w:noWrap/>
            <w:tcMar>
              <w:top w:w="0" w:type="dxa"/>
              <w:left w:w="108" w:type="dxa"/>
              <w:bottom w:w="0" w:type="dxa"/>
              <w:right w:w="108" w:type="dxa"/>
            </w:tcMar>
            <w:vAlign w:val="bottom"/>
          </w:tcPr>
          <w:p w14:paraId="28C09064" w14:textId="77777777" w:rsidR="0047653A" w:rsidRDefault="00C95746">
            <w:pPr>
              <w:suppressAutoHyphens w:val="0"/>
              <w:spacing w:after="0" w:line="276" w:lineRule="auto"/>
              <w:jc w:val="right"/>
              <w:textAlignment w:val="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r>
    </w:tbl>
    <w:p w14:paraId="2A19EEFC" w14:textId="77777777" w:rsidR="00B4625C" w:rsidRDefault="00B4625C">
      <w:pPr>
        <w:sectPr w:rsidR="00B4625C">
          <w:headerReference w:type="default" r:id="rId7"/>
          <w:footerReference w:type="default" r:id="rId8"/>
          <w:headerReference w:type="first" r:id="rId9"/>
          <w:footerReference w:type="first" r:id="rId10"/>
          <w:pgSz w:w="11906" w:h="16838"/>
          <w:pgMar w:top="1417" w:right="1417" w:bottom="1417" w:left="1417" w:header="720" w:footer="720" w:gutter="0"/>
          <w:cols w:space="720"/>
          <w:titlePg/>
        </w:sectPr>
      </w:pPr>
    </w:p>
    <w:p w14:paraId="3FF1F5DD" w14:textId="77777777" w:rsidR="00B4625C" w:rsidRDefault="00B4625C">
      <w:pPr>
        <w:sectPr w:rsidR="00B4625C" w:rsidSect="006802B2">
          <w:headerReference w:type="default" r:id="rId11"/>
          <w:footerReference w:type="default" r:id="rId12"/>
          <w:headerReference w:type="first" r:id="rId13"/>
          <w:footerReference w:type="first" r:id="rId14"/>
          <w:pgSz w:w="11906" w:h="16838"/>
          <w:pgMar w:top="993" w:right="1417" w:bottom="1417" w:left="1417" w:header="720" w:footer="720" w:gutter="0"/>
          <w:pgNumType w:start="1"/>
          <w:cols w:space="720"/>
          <w:titlePg/>
        </w:sectPr>
      </w:pPr>
    </w:p>
    <w:p w14:paraId="40720197" w14:textId="77777777" w:rsidR="00B4625C" w:rsidRDefault="00B4625C">
      <w:pPr>
        <w:sectPr w:rsidR="00B4625C">
          <w:type w:val="continuous"/>
          <w:pgSz w:w="11906" w:h="16838"/>
          <w:pgMar w:top="1417" w:right="1417" w:bottom="1417" w:left="1417" w:header="720" w:footer="720" w:gutter="0"/>
          <w:pgNumType w:start="1"/>
          <w:cols w:space="720"/>
          <w:titlePg/>
        </w:sectPr>
      </w:pPr>
    </w:p>
    <w:p w14:paraId="70B3E3AE" w14:textId="77777777" w:rsidR="0047653A" w:rsidRDefault="00C95746">
      <w:pPr>
        <w:suppressAutoHyphens w:val="0"/>
        <w:spacing w:line="276" w:lineRule="auto"/>
        <w:jc w:val="both"/>
        <w:textAlignment w:val="auto"/>
        <w:rPr>
          <w:rFonts w:ascii="Times New Roman" w:eastAsia="Times New Roman" w:hAnsi="Times New Roman"/>
          <w:b/>
          <w:bCs/>
          <w:sz w:val="24"/>
          <w:szCs w:val="24"/>
        </w:rPr>
      </w:pPr>
      <w:r>
        <w:rPr>
          <w:rFonts w:ascii="Times New Roman" w:eastAsia="Times New Roman" w:hAnsi="Times New Roman"/>
          <w:b/>
          <w:bCs/>
          <w:sz w:val="24"/>
          <w:szCs w:val="24"/>
        </w:rPr>
        <w:t>1. UVOD</w:t>
      </w:r>
    </w:p>
    <w:p w14:paraId="403284A5"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6D178049" w14:textId="77777777" w:rsidR="0047653A" w:rsidRDefault="00C95746">
      <w:pPr>
        <w:suppressAutoHyphens w:val="0"/>
        <w:spacing w:line="276" w:lineRule="auto"/>
        <w:jc w:val="both"/>
        <w:textAlignment w:val="auto"/>
      </w:pPr>
      <w:r>
        <w:rPr>
          <w:rFonts w:ascii="Times New Roman" w:eastAsia="Times New Roman" w:hAnsi="Times New Roman"/>
          <w:sz w:val="24"/>
          <w:szCs w:val="24"/>
        </w:rPr>
        <w:t xml:space="preserve">Sukladno odredbama  Zakona o sustavu strateškog planiranja i upravljanja razvojem Republike Hrvatske („Narodne novine“, broj 123/17) i Zakona o regionalnom razvoju Republike Hrvatske („Narodne novine“, broj 147/14,123/17 i 118/18), Plan razvoja Bjelovarsko-bilogorske županije za razdoblje </w:t>
      </w:r>
      <w:r>
        <w:rPr>
          <w:rFonts w:ascii="Times New Roman" w:eastAsia="Times New Roman" w:hAnsi="Times New Roman"/>
          <w:color w:val="000000"/>
          <w:sz w:val="24"/>
          <w:szCs w:val="24"/>
        </w:rPr>
        <w:t>2022. do 2027</w:t>
      </w:r>
      <w:r>
        <w:rPr>
          <w:rFonts w:ascii="Times New Roman" w:eastAsia="Times New Roman" w:hAnsi="Times New Roman"/>
          <w:sz w:val="24"/>
          <w:szCs w:val="24"/>
        </w:rPr>
        <w:t xml:space="preserve">. godine, temeljni je srednjoročni akt strateškog planiranja  kojim se definiraju posebni ciljevi za provedbu strateških ciljeva iz dugoročnih akata strateškog planiranja, odnosno iz Nacionalne razvojne strategije te sektorskih i višesektorskih strategija. </w:t>
      </w:r>
    </w:p>
    <w:p w14:paraId="39A16243"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Plan razvoja donosi se u skladu s načelom partnerstva i suradnje nakon prethodno pribavljenog mišljenja Partnerskog vijeća za područje županije kako bi se definirao smjer daljnjeg razvoja Bjelovarsko-bilogorske županije te osigurala strateška podloga za upravljanje razvojem uz učinkovito i održivo korištenje raspoloživih resursa. </w:t>
      </w:r>
    </w:p>
    <w:p w14:paraId="7F4373FC"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Nositelj izrade Plana razvoja Bjelovarsko-bilogorske županije za razdoblje 2022. do 2027. godine je Bjelovarsko-bilogorska županija dok je za njenu izradu, provedbu i vrednovanje ovlaštena Javna ustanova Razvojna agencija Bjelovarsko-bilogorske županije, regionalni koordinator za Bjelovarsko-bilogorsku županiju.  </w:t>
      </w:r>
    </w:p>
    <w:p w14:paraId="59C58DF8" w14:textId="77777777" w:rsidR="0047653A" w:rsidRDefault="00C95746">
      <w:pPr>
        <w:suppressAutoHyphens w:val="0"/>
        <w:spacing w:line="276" w:lineRule="auto"/>
        <w:jc w:val="both"/>
        <w:textAlignment w:val="auto"/>
      </w:pPr>
      <w:r>
        <w:rPr>
          <w:rFonts w:ascii="Times New Roman" w:eastAsia="Times New Roman" w:hAnsi="Times New Roman"/>
          <w:sz w:val="24"/>
          <w:szCs w:val="24"/>
        </w:rPr>
        <w:t xml:space="preserve">U cilju kontinuiranog i cjelovitog informiranja javnosti o svim fazama postupka izrade i provedbe Plana razvoja Bjelovarsko-bilogorske županije za razdoblje </w:t>
      </w:r>
      <w:r>
        <w:rPr>
          <w:rFonts w:ascii="Times New Roman" w:eastAsia="Times New Roman" w:hAnsi="Times New Roman"/>
          <w:color w:val="000000"/>
          <w:sz w:val="24"/>
          <w:szCs w:val="24"/>
        </w:rPr>
        <w:t>2022. do 2027.</w:t>
      </w:r>
      <w:r>
        <w:rPr>
          <w:rFonts w:ascii="Times New Roman" w:eastAsia="Times New Roman" w:hAnsi="Times New Roman"/>
          <w:sz w:val="24"/>
          <w:szCs w:val="24"/>
        </w:rPr>
        <w:t xml:space="preserve"> godine, uz korištenje specifičnih komunikacijskih alata kojima se postiže vidljivost postupka planiranja javnih politika pristupilo se postupku izrade i usvajanja Komunikacijske strategije Plana razvoja Bjelovarsko-bilogorske županije za razdoblje 2022. do 2027. godine (u daljnjem tekstu: Komunikacijska strategija). </w:t>
      </w:r>
    </w:p>
    <w:p w14:paraId="0AE45404" w14:textId="77777777" w:rsidR="0047653A" w:rsidRDefault="00C95746">
      <w:pPr>
        <w:suppressAutoHyphens w:val="0"/>
        <w:spacing w:line="276" w:lineRule="auto"/>
        <w:jc w:val="both"/>
        <w:textAlignment w:val="auto"/>
      </w:pPr>
      <w:r>
        <w:rPr>
          <w:rFonts w:ascii="Times New Roman" w:eastAsia="Times New Roman" w:hAnsi="Times New Roman"/>
          <w:sz w:val="24"/>
          <w:szCs w:val="24"/>
        </w:rPr>
        <w:t>Komunikacijska strategija značajna je sastavnica akata strateškog planiranja s ciljem razumijevanja okvira u kojem će strategija biti osmišljena, usvojena i provedena te pridonijeti podizanju svijesti i informiranju javnosti o njenoj ulozi i važnosti za razvoj Županije. Unutar Komunikacijske strategije definirani su komunikacijski ciljevi, ciljne skupine, predložene komunikacijske aktivnosti i kanali te definiran vremenski raspored provođenja aktivnosti prema pojedinim skupinama odnosno nositeljima aktivnosti/</w:t>
      </w:r>
      <w:r>
        <w:rPr>
          <w:rFonts w:ascii="Times New Roman" w:eastAsia="Times New Roman" w:hAnsi="Times New Roman"/>
          <w:color w:val="000000"/>
          <w:sz w:val="24"/>
          <w:szCs w:val="24"/>
        </w:rPr>
        <w:t>dionicima.</w:t>
      </w:r>
    </w:p>
    <w:p w14:paraId="7477C6A9"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Komunikacijskim akcijskim planom unutar strategije definira se okvir za postizanje komunikacijskih ciljeva te detaljno razrađuju mjere i aktivnosti informiranja i vidljivosti na operativnoj razini u svrhu provedbe komunikacijskih ciljeva.</w:t>
      </w:r>
    </w:p>
    <w:p w14:paraId="320D3DDA" w14:textId="77777777" w:rsidR="0047653A" w:rsidRDefault="0047653A">
      <w:pPr>
        <w:suppressAutoHyphens w:val="0"/>
        <w:spacing w:line="276" w:lineRule="auto"/>
        <w:jc w:val="both"/>
        <w:textAlignment w:val="auto"/>
        <w:rPr>
          <w:rFonts w:eastAsia="Times New Roman"/>
        </w:rPr>
      </w:pPr>
    </w:p>
    <w:p w14:paraId="410AA2CC" w14:textId="77777777" w:rsidR="0047653A" w:rsidRDefault="0047653A">
      <w:pPr>
        <w:suppressAutoHyphens w:val="0"/>
        <w:spacing w:line="276" w:lineRule="auto"/>
        <w:jc w:val="both"/>
        <w:textAlignment w:val="auto"/>
        <w:rPr>
          <w:rFonts w:eastAsia="Times New Roman"/>
        </w:rPr>
      </w:pPr>
    </w:p>
    <w:p w14:paraId="50143457" w14:textId="77777777" w:rsidR="0047653A" w:rsidRDefault="0047653A">
      <w:pPr>
        <w:suppressAutoHyphens w:val="0"/>
        <w:spacing w:line="276" w:lineRule="auto"/>
        <w:jc w:val="both"/>
        <w:textAlignment w:val="auto"/>
        <w:rPr>
          <w:rFonts w:eastAsia="Times New Roman"/>
        </w:rPr>
      </w:pPr>
    </w:p>
    <w:p w14:paraId="3228CB58" w14:textId="77777777" w:rsidR="0047653A" w:rsidRDefault="0047653A">
      <w:pPr>
        <w:suppressAutoHyphens w:val="0"/>
        <w:spacing w:line="276" w:lineRule="auto"/>
        <w:jc w:val="both"/>
        <w:textAlignment w:val="auto"/>
        <w:rPr>
          <w:rFonts w:eastAsia="Times New Roman"/>
        </w:rPr>
      </w:pPr>
    </w:p>
    <w:p w14:paraId="620DAB5C" w14:textId="77777777" w:rsidR="0047653A" w:rsidRDefault="0047653A">
      <w:pPr>
        <w:suppressAutoHyphens w:val="0"/>
        <w:spacing w:line="276" w:lineRule="auto"/>
        <w:jc w:val="both"/>
        <w:textAlignment w:val="auto"/>
        <w:rPr>
          <w:rFonts w:eastAsia="Times New Roman"/>
        </w:rPr>
      </w:pPr>
    </w:p>
    <w:p w14:paraId="4173D1B2" w14:textId="77777777" w:rsidR="0047653A" w:rsidRDefault="0047653A">
      <w:pPr>
        <w:suppressAutoHyphens w:val="0"/>
        <w:spacing w:line="276" w:lineRule="auto"/>
        <w:jc w:val="both"/>
        <w:textAlignment w:val="auto"/>
        <w:rPr>
          <w:rFonts w:eastAsia="Times New Roman"/>
        </w:rPr>
      </w:pPr>
    </w:p>
    <w:p w14:paraId="13407B60" w14:textId="77777777" w:rsidR="0047653A" w:rsidRDefault="00C95746">
      <w:pPr>
        <w:suppressAutoHyphens w:val="0"/>
        <w:spacing w:line="276" w:lineRule="auto"/>
        <w:jc w:val="both"/>
        <w:textAlignment w:val="auto"/>
        <w:rPr>
          <w:rFonts w:ascii="Times New Roman" w:eastAsia="Times New Roman" w:hAnsi="Times New Roman"/>
          <w:b/>
          <w:bCs/>
          <w:sz w:val="24"/>
          <w:szCs w:val="24"/>
        </w:rPr>
      </w:pPr>
      <w:r>
        <w:rPr>
          <w:rFonts w:ascii="Times New Roman" w:eastAsia="Times New Roman" w:hAnsi="Times New Roman"/>
          <w:b/>
          <w:bCs/>
          <w:sz w:val="24"/>
          <w:szCs w:val="24"/>
        </w:rPr>
        <w:t>2. CILJEVI KOMUNIKACIJSKE STRATEGIJE</w:t>
      </w:r>
    </w:p>
    <w:p w14:paraId="2BC9BFF5"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Komunikacijskom strategijom utvrđene su mjere i alati koji trebaju pridonijeti informiranju javnosti o ulozi i značaju Plana razvoja Bjelovarsko-bilogorske županije 2022. - 2027. godine te o postupku njegove izrade i provedbe.</w:t>
      </w:r>
    </w:p>
    <w:p w14:paraId="75D5E8AD" w14:textId="77777777" w:rsidR="0047653A" w:rsidRDefault="0047653A">
      <w:pPr>
        <w:suppressAutoHyphens w:val="0"/>
        <w:spacing w:line="276" w:lineRule="auto"/>
        <w:textAlignment w:val="auto"/>
        <w:rPr>
          <w:rFonts w:ascii="Times New Roman" w:eastAsia="Times New Roman" w:hAnsi="Times New Roman"/>
          <w:sz w:val="24"/>
          <w:szCs w:val="24"/>
        </w:rPr>
      </w:pPr>
    </w:p>
    <w:p w14:paraId="2A4C2A69" w14:textId="77777777" w:rsidR="0047653A" w:rsidRDefault="00C95746">
      <w:pPr>
        <w:suppressAutoHyphens w:val="0"/>
        <w:spacing w:line="276" w:lineRule="auto"/>
        <w:textAlignment w:val="auto"/>
        <w:rPr>
          <w:rFonts w:ascii="Times New Roman" w:eastAsia="Times New Roman" w:hAnsi="Times New Roman"/>
          <w:sz w:val="24"/>
          <w:szCs w:val="24"/>
        </w:rPr>
      </w:pPr>
      <w:r>
        <w:rPr>
          <w:rFonts w:ascii="Times New Roman" w:eastAsia="Times New Roman" w:hAnsi="Times New Roman"/>
          <w:sz w:val="24"/>
          <w:szCs w:val="24"/>
        </w:rPr>
        <w:t>2.1. Opći cilj</w:t>
      </w:r>
    </w:p>
    <w:p w14:paraId="4703D7D5"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Opći cilj Komunikacijske strategije je promicanje važnosti politike regionalnog razvoja i boljeg razumijevanja značaja Plana razvoja Bjelovarsko-bilogorske županije 2022. - 2027. godine. Provedbom Komunikacijske strategije doprinijet će se transparentnosti postupka izrade i provedbe Plana razvoja temeljene na praćenju i provedbi strateških ciljeva koji su u njemu definirani s ciljem poticanja ravnomjernog i održivog razvoja Županije. </w:t>
      </w:r>
    </w:p>
    <w:p w14:paraId="797BF079"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22C559F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2.2. Specifični ciljevi</w:t>
      </w:r>
    </w:p>
    <w:p w14:paraId="0818B332"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U svrhu ostvarenja definiranog općeg cilja definirani su slijedeći specifični ciljevi Komunikacijske strategije:</w:t>
      </w:r>
    </w:p>
    <w:p w14:paraId="369F3891"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1. podizanje svijesti o važnosti Plana razvoja Bjelovarsko-bilogorske županije za njezin ravnomjerni i održiv razvoj temeljen na jačanju konkurentnosti i realizaciji vlastitih razvojnih potencijala  </w:t>
      </w:r>
    </w:p>
    <w:p w14:paraId="1549DD62"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2. uspostavljanje učinkovite komunikacije svih dionika koji sudjeluju u izradi Plana razvoja Bjelovarsko-bilogorske županije</w:t>
      </w:r>
    </w:p>
    <w:p w14:paraId="4DBEAFC0"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3. unapređenje informiranosti šire javnosti i zainteresiranih skupina o procesu izrade Plana razvoja Bjelovarsko-bilogorske županije 2022. do 2027.</w:t>
      </w:r>
    </w:p>
    <w:p w14:paraId="2769269A"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4. osiguravanje transparentnosti tijekom faze provedbe i vrednovanja</w:t>
      </w:r>
    </w:p>
    <w:p w14:paraId="07FAB139"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5. pružanje informacija zainteresiranoj široj javnosti o mogućim izvorima financiranja s naglaskom na mogućnost korištenja fondova EU namijenjenih regionalnom razvoju</w:t>
      </w:r>
    </w:p>
    <w:p w14:paraId="376D91ED"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0184101C"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2.3. Pokazatelji ostvarenja ciljeva</w:t>
      </w:r>
    </w:p>
    <w:p w14:paraId="426AC1F0"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Ostvarivanje specifičnih ciljeva Komunikacijske strategije mjerit će se na kraju utvrđenog vremenskog razdoblja pomoću unaprijed određenih pokazatelja.</w:t>
      </w:r>
    </w:p>
    <w:p w14:paraId="149EDDC5"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Pokazatelji ostvarenja specifičnog cilja 1:</w:t>
      </w:r>
    </w:p>
    <w:p w14:paraId="2DAE9BBE"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broj javnih događanja</w:t>
      </w:r>
    </w:p>
    <w:p w14:paraId="1E99A550"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broj sudionika na informativnim događanjima</w:t>
      </w:r>
    </w:p>
    <w:p w14:paraId="0767A703"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 broj posjeta na mrežnim stranicama Bjelovarsko-bilogorske županije i regionalnog koordinatora Javne ustanove Razvojne agencije Bjelovarsko-bilogorske županije</w:t>
      </w:r>
    </w:p>
    <w:p w14:paraId="2E7ED35E"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Pokazatelji specifičnog cilja 2:</w:t>
      </w:r>
    </w:p>
    <w:p w14:paraId="527F763E"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broj održanih sastanaka Partnerskog vijeća za izradu Plana razvoja Bjelovarsko-bilogorske županije</w:t>
      </w:r>
    </w:p>
    <w:p w14:paraId="7EE81218"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broj održanih tematskih sastanaka Radne skupine tijekom izrade Plana razvoja </w:t>
      </w:r>
    </w:p>
    <w:p w14:paraId="280B204D"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broj medijskih objava namijenjenih informiranju javnosti u tijeku izrade Plana razvoja Bjelovarsko-bilogorske županije</w:t>
      </w:r>
    </w:p>
    <w:p w14:paraId="4DE2EDEF"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Pokazatelji specifičnog cilja 3:</w:t>
      </w:r>
    </w:p>
    <w:p w14:paraId="15CEBA00"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broj medijskih objava o postupku izrade Plana razvoja Bjelovarsko-bilogorske županije </w:t>
      </w:r>
    </w:p>
    <w:p w14:paraId="36C2531D"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Pokazatelj specifičnog cilja 4:</w:t>
      </w:r>
    </w:p>
    <w:p w14:paraId="57FB537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broj medijskih objava namijenjenih informiranju javnosti o procesu  provedbe i vrednovanja rezultata Plana razvoja </w:t>
      </w:r>
    </w:p>
    <w:p w14:paraId="5FBD73C3"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broj posjeta na mrežnim stranicama Bjelovarsko-bilogorske županije i Javne ustanove Razvojne agencije Bjelovarsko-bilogorske županije</w:t>
      </w:r>
    </w:p>
    <w:p w14:paraId="020EEBE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Pokazatelj specifičnog cilja 5:</w:t>
      </w:r>
    </w:p>
    <w:p w14:paraId="117C3A76"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broj objava na mrežnim stranicama Bjelovarsko-bilogorske županije i Javne ustanove Regionalne razvojne agencije Bjelovarsko-bilogorske županije.</w:t>
      </w:r>
    </w:p>
    <w:p w14:paraId="65DB6FEC"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2E61A446"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72E7EEB6" w14:textId="77777777" w:rsidR="0047653A" w:rsidRDefault="00C95746">
      <w:pPr>
        <w:suppressAutoHyphens w:val="0"/>
        <w:spacing w:line="276"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3. KOMUNIKACIJSKE MJERE I ALATI</w:t>
      </w:r>
    </w:p>
    <w:p w14:paraId="46BDC1CA"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3.1. Komunikacijske mjere</w:t>
      </w:r>
    </w:p>
    <w:p w14:paraId="78C03E0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Ciljevi Komunikacijske strategije bit će realizirani provedbom komunikacijskih mjera i aktivnosti tijekom postupka izrade i provedbe Plana razvoja Bjelovarsko-bilogorske županije. </w:t>
      </w:r>
    </w:p>
    <w:p w14:paraId="02182547"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Komunikacijske mjere predviđaju:</w:t>
      </w:r>
    </w:p>
    <w:p w14:paraId="735AD827"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informiranje javnosti o značaju i ulozi Plana razvoja Bjelovarsko-bilogorske županije za razvoj Županije i jedinica lokalne samouprave </w:t>
      </w:r>
    </w:p>
    <w:p w14:paraId="7F233552"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informiranje javnosti o postupku izrade Plana razvoja Bjelovarsko-bilogorske županije</w:t>
      </w:r>
    </w:p>
    <w:p w14:paraId="04C183F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uspostava učinkovitog sustava komunikacije između svih dionika koji sudjeluju u  procesu postupka izrade Plana razvoja (Partnersko vijeće, Radna skupina Plana razvoja Bjelovarsko-bilogorske županije, djelatnici Javne ustanove Razvojne agencije Bjelovarsko-bilogorske županije, upravnih tijela Bjelovarsko-bilogorske županije)</w:t>
      </w:r>
    </w:p>
    <w:p w14:paraId="0EEFD02E"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 osiguranje medijske vidljivosti procesa provedbe i vrednovanja Plana razvoja Bjelovarsko-bilogorske županije u cilju stvaranja pretpostavki za prijenos informacija svim ciljnim skupinama.</w:t>
      </w:r>
    </w:p>
    <w:p w14:paraId="2112327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Komunikacijske mjere usmjerene su također i na potencijalne korisnike s ciljem bolje informiranosti o mogućnostima financiranja razvojnih i drugih projekata sredstvima EU kako bi se povećala konkurentnost i  ostvarile razvojne mogućnosti Županije. </w:t>
      </w:r>
    </w:p>
    <w:p w14:paraId="52265964"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Provedbom navedenih komunikacijskih mjera realizirati će se prijenos svih važnih informacija vezanih uz postupak izrade i provedbe Plana razvoja Bjelovarsko-bilogorske županije kako bi na učinkovit način informirali ciljnu skupinu.</w:t>
      </w:r>
    </w:p>
    <w:p w14:paraId="24403596"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4E547051"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3.2. Komunikacijske poruke</w:t>
      </w:r>
    </w:p>
    <w:p w14:paraId="1865AF71"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U svrhu ostvarenja postavljenih ciljeva potrebno je definirati ključne poruke koje prenosimo ciljanim skupinama.</w:t>
      </w:r>
    </w:p>
    <w:p w14:paraId="100837A1"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Ključne poruke Komunikacijske strategije su:</w:t>
      </w:r>
    </w:p>
    <w:p w14:paraId="264ACA18"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 Plan razvoja Bjelovarsko-bilogorske županije temeljni je strateški dokument Bjelovarsko-bilogorske županije.</w:t>
      </w:r>
    </w:p>
    <w:p w14:paraId="1E37D3D0"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2. Učinkovita komunikacija i razumijevanje okvira u kojem će strategija biti osmišljena od strane svih dionika koji sudjeluju u izradi Plana razvoja Bjelovarsko-bilogorske županije.</w:t>
      </w:r>
    </w:p>
    <w:p w14:paraId="5EC584EA"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3. Planom razvoja definirani su prioriteti razvoja Bjelovarsko-bilogorske županije za svaki od postavljenih ciljeva</w:t>
      </w:r>
    </w:p>
    <w:p w14:paraId="5A88E13E"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4. Dostupnost i mogućnost korištenja financijskih sredstava iz EU fondova  za provedbu projekata kojima se ostvaruju ciljevi definirani Planom razvoja Bjelovarsko-bilogorske županije</w:t>
      </w:r>
    </w:p>
    <w:p w14:paraId="5035F85D" w14:textId="77777777" w:rsidR="0047653A" w:rsidRDefault="00C95746">
      <w:pPr>
        <w:suppressAutoHyphens w:val="0"/>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5. Radna skupina i partnersko vijeće sastavljeni su od svih relevantnih predstavnika svih društvenih skupina Županije.</w:t>
      </w:r>
    </w:p>
    <w:p w14:paraId="4185F6C1" w14:textId="77777777" w:rsidR="0047653A" w:rsidRDefault="0047653A">
      <w:pPr>
        <w:suppressAutoHyphens w:val="0"/>
        <w:spacing w:line="276" w:lineRule="auto"/>
        <w:jc w:val="both"/>
        <w:textAlignment w:val="auto"/>
        <w:rPr>
          <w:rFonts w:ascii="Times New Roman" w:eastAsia="Times New Roman" w:hAnsi="Times New Roman"/>
          <w:sz w:val="24"/>
          <w:szCs w:val="24"/>
        </w:rPr>
      </w:pPr>
    </w:p>
    <w:p w14:paraId="4B582454" w14:textId="77777777" w:rsidR="0047653A" w:rsidRDefault="00C95746">
      <w:pPr>
        <w:spacing w:line="276" w:lineRule="auto"/>
        <w:rPr>
          <w:rFonts w:ascii="Times New Roman" w:hAnsi="Times New Roman"/>
          <w:sz w:val="24"/>
          <w:szCs w:val="24"/>
        </w:rPr>
      </w:pPr>
      <w:r>
        <w:rPr>
          <w:rFonts w:ascii="Times New Roman" w:hAnsi="Times New Roman"/>
          <w:sz w:val="24"/>
          <w:szCs w:val="24"/>
        </w:rPr>
        <w:t>3.3. Komunikacijski alati</w:t>
      </w:r>
    </w:p>
    <w:p w14:paraId="0F7678AB"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Provedbom navedenih komunikacijskih mjera realizirati će se prijenos svih važnih informacija vezanih uz postupak izrade i provedbe Plana razvoja Bjelovarsko-bilogorske županije kako bi na učinkovit način informirali ciljnu skupinu. </w:t>
      </w:r>
    </w:p>
    <w:p w14:paraId="4EFFFCE8"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Komunikacijski alati predviđeni Komunikacijskom strategijom su: </w:t>
      </w:r>
    </w:p>
    <w:p w14:paraId="4D962061" w14:textId="77777777" w:rsidR="0047653A" w:rsidRDefault="00C95746">
      <w:pPr>
        <w:pStyle w:val="Odlomakpopisa"/>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Promocija Plana razvoja BBŽ - objavljivanje svih važnih informacija o izradi i provedbi Plana razvoja Bjelovarsko-bilogorske županije na mrežnim stranicama Bjelovarsko-bilogorske županije i Javne ustanove Razvojne agencije Bjelovarsko-bilogorske županije. Na službenim stranicama nalaziti će se i kontakti odgovornih osoba za provedbu Plana razvoja Bjelovarsko-bilogorske </w:t>
      </w:r>
      <w:r>
        <w:rPr>
          <w:rFonts w:ascii="Times New Roman" w:hAnsi="Times New Roman"/>
          <w:sz w:val="24"/>
          <w:szCs w:val="24"/>
        </w:rPr>
        <w:lastRenderedPageBreak/>
        <w:t>županije, putem kojih će svi zainteresirani dionici moći postavljati pitanja ili davati prijedloge.</w:t>
      </w:r>
    </w:p>
    <w:p w14:paraId="136509C0" w14:textId="77777777" w:rsidR="0047653A" w:rsidRDefault="00C95746">
      <w:pPr>
        <w:pStyle w:val="Odlomakpopisa"/>
        <w:numPr>
          <w:ilvl w:val="0"/>
          <w:numId w:val="1"/>
        </w:numPr>
        <w:spacing w:line="276" w:lineRule="auto"/>
        <w:jc w:val="both"/>
        <w:rPr>
          <w:rFonts w:ascii="Times New Roman" w:hAnsi="Times New Roman"/>
          <w:sz w:val="24"/>
          <w:szCs w:val="24"/>
        </w:rPr>
      </w:pPr>
      <w:r>
        <w:rPr>
          <w:rFonts w:ascii="Times New Roman" w:hAnsi="Times New Roman"/>
          <w:sz w:val="24"/>
          <w:szCs w:val="24"/>
        </w:rPr>
        <w:t>Radni sastanci – održavanje sastanaka Županijskog partnerskog vijeća, Radnih skupina i djelatnika Javne ustanove Razvojne agencije Bjelovarsko-bilogorske županije;</w:t>
      </w:r>
    </w:p>
    <w:p w14:paraId="2633BC6E" w14:textId="77777777" w:rsidR="0047653A" w:rsidRDefault="00C95746">
      <w:pPr>
        <w:pStyle w:val="Odlomakpopisa"/>
        <w:numPr>
          <w:ilvl w:val="0"/>
          <w:numId w:val="1"/>
        </w:numPr>
        <w:spacing w:line="276" w:lineRule="auto"/>
        <w:jc w:val="both"/>
        <w:rPr>
          <w:rFonts w:ascii="Times New Roman" w:hAnsi="Times New Roman"/>
          <w:sz w:val="24"/>
          <w:szCs w:val="24"/>
        </w:rPr>
      </w:pPr>
      <w:r>
        <w:rPr>
          <w:rFonts w:ascii="Times New Roman" w:hAnsi="Times New Roman"/>
          <w:sz w:val="24"/>
          <w:szCs w:val="24"/>
        </w:rPr>
        <w:t>Informativna događanja, radionice ili bilo koja druga tematska događanja namijenjena predstavljanju strateških ciljeva, razvojnih prioriteta i mjera Plana razvoja Bjelovarsko-bilogorske županije te rezultata njegove provedbe;</w:t>
      </w:r>
    </w:p>
    <w:p w14:paraId="29D08BD9" w14:textId="77777777" w:rsidR="0047653A" w:rsidRDefault="00C95746">
      <w:pPr>
        <w:pStyle w:val="Odlomakpopisa"/>
        <w:numPr>
          <w:ilvl w:val="0"/>
          <w:numId w:val="1"/>
        </w:numPr>
        <w:spacing w:line="276" w:lineRule="auto"/>
        <w:jc w:val="both"/>
        <w:rPr>
          <w:rFonts w:ascii="Times New Roman" w:hAnsi="Times New Roman"/>
          <w:sz w:val="24"/>
          <w:szCs w:val="24"/>
        </w:rPr>
      </w:pPr>
      <w:r>
        <w:rPr>
          <w:rFonts w:ascii="Times New Roman" w:hAnsi="Times New Roman"/>
          <w:sz w:val="24"/>
          <w:szCs w:val="24"/>
        </w:rPr>
        <w:t>Savjetovanje sa zainteresiranom javnošću – provedba savjetovanja o Nacrtu Plana razvoja Bjelovarsko-bilogorske županije za razdoblje 2022. – 2027. godine i Strateške studije utjecaja na okoliš, sukladno odredbama Zakona o pravu na pristup informacijama (NN 25/13 i 85/15), Zakona o zaštiti okoliša (NN 80/13, 78/15, 12/18 i 118/18) i Uredbe o strateškoj procjeni utjecaja strategije, plana i programa na okoliš (NN 3/17);</w:t>
      </w:r>
    </w:p>
    <w:p w14:paraId="4091CD0A" w14:textId="77777777" w:rsidR="0047653A" w:rsidRDefault="00C95746">
      <w:pPr>
        <w:pStyle w:val="Odlomakpopisa"/>
        <w:numPr>
          <w:ilvl w:val="0"/>
          <w:numId w:val="1"/>
        </w:numPr>
        <w:spacing w:line="276" w:lineRule="auto"/>
        <w:jc w:val="both"/>
        <w:rPr>
          <w:rFonts w:ascii="Times New Roman" w:hAnsi="Times New Roman"/>
          <w:sz w:val="24"/>
          <w:szCs w:val="24"/>
        </w:rPr>
      </w:pPr>
      <w:r>
        <w:rPr>
          <w:rFonts w:ascii="Times New Roman" w:hAnsi="Times New Roman"/>
          <w:sz w:val="24"/>
          <w:szCs w:val="24"/>
        </w:rPr>
        <w:t>Medijska vidljivost - priopćenja za medije, konferencije za novinare, članci u tiskanim medijima, na internetskim stranicama kao i na društvenim mrežama.</w:t>
      </w:r>
    </w:p>
    <w:p w14:paraId="3473BDDE" w14:textId="77777777" w:rsidR="0047653A" w:rsidRDefault="0047653A">
      <w:pPr>
        <w:spacing w:line="276" w:lineRule="auto"/>
        <w:jc w:val="both"/>
        <w:rPr>
          <w:rFonts w:ascii="Times New Roman" w:hAnsi="Times New Roman"/>
          <w:sz w:val="24"/>
          <w:szCs w:val="24"/>
        </w:rPr>
      </w:pPr>
    </w:p>
    <w:p w14:paraId="5747C131"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Primjena svih navedenih komunikacijskih alata utvrđena je Komunikacijskim akcijskim planom koji je sastavni dio ove strategije.</w:t>
      </w:r>
    </w:p>
    <w:p w14:paraId="76CB62F1" w14:textId="77777777" w:rsidR="0047653A" w:rsidRDefault="0047653A">
      <w:pPr>
        <w:spacing w:line="276" w:lineRule="auto"/>
        <w:jc w:val="both"/>
        <w:rPr>
          <w:rFonts w:ascii="Times New Roman" w:hAnsi="Times New Roman"/>
          <w:sz w:val="24"/>
          <w:szCs w:val="24"/>
        </w:rPr>
      </w:pPr>
    </w:p>
    <w:p w14:paraId="739FB833" w14:textId="77777777" w:rsidR="0047653A" w:rsidRDefault="00C95746">
      <w:pPr>
        <w:spacing w:line="276" w:lineRule="auto"/>
        <w:jc w:val="both"/>
        <w:rPr>
          <w:rFonts w:ascii="Times New Roman" w:hAnsi="Times New Roman"/>
          <w:b/>
          <w:sz w:val="24"/>
          <w:szCs w:val="24"/>
        </w:rPr>
      </w:pPr>
      <w:r>
        <w:rPr>
          <w:rFonts w:ascii="Times New Roman" w:hAnsi="Times New Roman"/>
          <w:b/>
          <w:sz w:val="24"/>
          <w:szCs w:val="24"/>
        </w:rPr>
        <w:t>4. CILJNE SKUPINE</w:t>
      </w:r>
    </w:p>
    <w:p w14:paraId="516A7815"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Kako bi osigurali sudjelovanje svih zainteresiranih dionika u postupku izrade i provedbe Plana razvoja Bjelovarsko-bilogorske županije ciljne skupine prema kojima su usmjerene komunikacijskih mjere i alati su:</w:t>
      </w:r>
    </w:p>
    <w:p w14:paraId="7C8DABB2" w14:textId="77777777" w:rsidR="0047653A" w:rsidRDefault="00C95746">
      <w:pPr>
        <w:pStyle w:val="Odlomakpopisa"/>
        <w:numPr>
          <w:ilvl w:val="0"/>
          <w:numId w:val="2"/>
        </w:numPr>
        <w:spacing w:line="276" w:lineRule="auto"/>
        <w:jc w:val="both"/>
      </w:pPr>
      <w:r>
        <w:rPr>
          <w:rFonts w:ascii="Times New Roman" w:hAnsi="Times New Roman"/>
          <w:sz w:val="24"/>
          <w:szCs w:val="24"/>
        </w:rPr>
        <w:t>šira javnost – informiranost šire javnosti o postupku izrade i provedbe Plana razvoja Bjelovarsko-bilogorske županije jača svijest građana o važnosti sudjelovanja u kreiranju javnih politika i pozitivnim učincima provedbe strateških dokumenata; biti će upoznati sa Planom razvoja putem mrežnih stranica Bjelovarsko-bilogorske županije (</w:t>
      </w:r>
      <w:hyperlink r:id="rId15" w:history="1">
        <w:r>
          <w:rPr>
            <w:rStyle w:val="Hiperveza"/>
            <w:rFonts w:ascii="Times New Roman" w:hAnsi="Times New Roman"/>
            <w:sz w:val="24"/>
            <w:szCs w:val="24"/>
          </w:rPr>
          <w:t>www.bbz.hr</w:t>
        </w:r>
      </w:hyperlink>
      <w:r>
        <w:rPr>
          <w:rFonts w:ascii="Times New Roman" w:hAnsi="Times New Roman"/>
          <w:sz w:val="24"/>
          <w:szCs w:val="24"/>
        </w:rPr>
        <w:t>) i Javne ustanove Razvojne agencije Bjelovarsko-bilogorske županije (</w:t>
      </w:r>
      <w:hyperlink r:id="rId16" w:history="1">
        <w:r>
          <w:rPr>
            <w:rStyle w:val="Hiperveza"/>
            <w:rFonts w:ascii="Times New Roman" w:hAnsi="Times New Roman"/>
            <w:sz w:val="24"/>
            <w:szCs w:val="24"/>
          </w:rPr>
          <w:t>www.jurabbz.hr</w:t>
        </w:r>
      </w:hyperlink>
      <w:r>
        <w:rPr>
          <w:rFonts w:ascii="Times New Roman" w:hAnsi="Times New Roman"/>
          <w:sz w:val="24"/>
          <w:szCs w:val="24"/>
        </w:rPr>
        <w:t>). Svi zainteresirani dionici moći će putem mrežnih stranica upućivati svoja pitanja, komentare i prijedloge koji će se prosljeđivati dalje odgovornim osobama.</w:t>
      </w:r>
    </w:p>
    <w:p w14:paraId="6200C559" w14:textId="77777777" w:rsidR="0047653A" w:rsidRDefault="00C95746">
      <w:pPr>
        <w:pStyle w:val="Odlomakpopisa"/>
        <w:numPr>
          <w:ilvl w:val="0"/>
          <w:numId w:val="2"/>
        </w:numPr>
        <w:spacing w:line="276" w:lineRule="auto"/>
        <w:jc w:val="both"/>
        <w:rPr>
          <w:rFonts w:ascii="Times New Roman" w:hAnsi="Times New Roman"/>
          <w:sz w:val="24"/>
          <w:szCs w:val="24"/>
        </w:rPr>
      </w:pPr>
      <w:r>
        <w:rPr>
          <w:rFonts w:ascii="Times New Roman" w:hAnsi="Times New Roman"/>
          <w:sz w:val="24"/>
          <w:szCs w:val="24"/>
        </w:rPr>
        <w:t>dionici neposredno zaduženi za postupak izrade Plana razvoja Bjelovarsko-bilogorske županije: Članovi županijskog parterskog vijeća, članovi Radnih skupina kao i djelatnici Javne ustanove Razvojne agencije Bjelovarsko-bilogorske županije;</w:t>
      </w:r>
    </w:p>
    <w:p w14:paraId="529FC092" w14:textId="77777777" w:rsidR="0047653A" w:rsidRDefault="00C95746">
      <w:pPr>
        <w:pStyle w:val="Odlomakpopisa"/>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jedinice lokalne samouprave i javnopravna tijela s područja županije koji su izravno zainteresirani da njihovi razvojni prioriteti i mjere budu ugrađeni u strateške ciljeve, prioritete i mjere Plana razvoja Bjelovarsko-bilogorske županije s obzirom da će svoje </w:t>
      </w:r>
      <w:r>
        <w:rPr>
          <w:rFonts w:ascii="Times New Roman" w:hAnsi="Times New Roman"/>
          <w:sz w:val="24"/>
          <w:szCs w:val="24"/>
        </w:rPr>
        <w:lastRenderedPageBreak/>
        <w:t>projekte realizirati i financirati putem europskih strukturnih fondova, sredstava državnog proračuna te iz ostalih nacionalnih ili međunarodnih izvora;</w:t>
      </w:r>
    </w:p>
    <w:p w14:paraId="55AB87B1" w14:textId="77777777" w:rsidR="0047653A" w:rsidRDefault="00C95746">
      <w:pPr>
        <w:pStyle w:val="Odlomakpopisa"/>
        <w:numPr>
          <w:ilvl w:val="0"/>
          <w:numId w:val="2"/>
        </w:numPr>
        <w:spacing w:line="276" w:lineRule="auto"/>
        <w:jc w:val="both"/>
        <w:rPr>
          <w:rFonts w:ascii="Times New Roman" w:hAnsi="Times New Roman"/>
          <w:sz w:val="24"/>
          <w:szCs w:val="24"/>
        </w:rPr>
      </w:pPr>
      <w:r>
        <w:rPr>
          <w:rFonts w:ascii="Times New Roman" w:hAnsi="Times New Roman"/>
          <w:sz w:val="24"/>
          <w:szCs w:val="24"/>
        </w:rPr>
        <w:t>gospodarski subjekti, gospodarska i obrtnička komora, obrazovne i znanstvene institucije, razvojne agencije i organizacije civilnog društva s područja Bjelovarsko-bilogorske županije za koje je nužno da se aktivno uključe u postupak izrade i provedbe Plana razvoja Bjelovarsko-bilogorske županije kako bi u okviru njegovih ciljeva, razvojnih prioriteta i mjera mogli realizirati svoje programe i projekte;</w:t>
      </w:r>
    </w:p>
    <w:p w14:paraId="3081654C" w14:textId="77777777" w:rsidR="0047653A" w:rsidRDefault="00C95746">
      <w:pPr>
        <w:pStyle w:val="Odlomakpopisa"/>
        <w:numPr>
          <w:ilvl w:val="0"/>
          <w:numId w:val="2"/>
        </w:numPr>
        <w:spacing w:line="276" w:lineRule="auto"/>
        <w:jc w:val="both"/>
        <w:rPr>
          <w:rFonts w:ascii="Times New Roman" w:hAnsi="Times New Roman"/>
          <w:sz w:val="24"/>
          <w:szCs w:val="24"/>
        </w:rPr>
      </w:pPr>
      <w:r>
        <w:rPr>
          <w:rFonts w:ascii="Times New Roman" w:hAnsi="Times New Roman"/>
          <w:sz w:val="24"/>
          <w:szCs w:val="24"/>
        </w:rPr>
        <w:t>mediji koji promiču svijest građana o važnosti strateškog planiranja i provedbe ključnih strateških dokumenata Bjelovarsko-bilogorske županije.</w:t>
      </w:r>
    </w:p>
    <w:p w14:paraId="6F17DFD6" w14:textId="77777777" w:rsidR="0047653A" w:rsidRDefault="0047653A">
      <w:pPr>
        <w:spacing w:line="276" w:lineRule="auto"/>
        <w:jc w:val="both"/>
        <w:rPr>
          <w:rFonts w:ascii="Times New Roman" w:hAnsi="Times New Roman"/>
          <w:sz w:val="24"/>
          <w:szCs w:val="24"/>
        </w:rPr>
      </w:pPr>
    </w:p>
    <w:p w14:paraId="01F2FCAC" w14:textId="77777777" w:rsidR="0047653A" w:rsidRDefault="0047653A">
      <w:pPr>
        <w:spacing w:line="276" w:lineRule="auto"/>
        <w:jc w:val="both"/>
        <w:rPr>
          <w:rFonts w:ascii="Times New Roman" w:hAnsi="Times New Roman"/>
          <w:sz w:val="24"/>
          <w:szCs w:val="24"/>
        </w:rPr>
      </w:pPr>
    </w:p>
    <w:p w14:paraId="61D40390" w14:textId="77777777" w:rsidR="0047653A" w:rsidRDefault="00C95746">
      <w:pPr>
        <w:spacing w:line="276" w:lineRule="auto"/>
        <w:jc w:val="both"/>
        <w:rPr>
          <w:rFonts w:ascii="Times New Roman" w:hAnsi="Times New Roman"/>
          <w:b/>
          <w:sz w:val="24"/>
          <w:szCs w:val="24"/>
        </w:rPr>
      </w:pPr>
      <w:r>
        <w:rPr>
          <w:rFonts w:ascii="Times New Roman" w:hAnsi="Times New Roman"/>
          <w:b/>
          <w:sz w:val="24"/>
          <w:szCs w:val="24"/>
        </w:rPr>
        <w:t>Rizici i problemi</w:t>
      </w:r>
    </w:p>
    <w:p w14:paraId="1D99842F"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Navesti ćemo rizike koji bi mogli negativno utjecati na uspjeh komunikacijskih mjera te plan ublažavanja tih rizika.</w:t>
      </w:r>
    </w:p>
    <w:p w14:paraId="2570B387" w14:textId="77777777" w:rsidR="0047653A" w:rsidRDefault="00C95746">
      <w:pPr>
        <w:spacing w:line="276" w:lineRule="auto"/>
        <w:jc w:val="both"/>
      </w:pPr>
      <w:r>
        <w:rPr>
          <w:rFonts w:ascii="Times New Roman" w:hAnsi="Times New Roman"/>
          <w:b/>
          <w:sz w:val="24"/>
          <w:szCs w:val="24"/>
        </w:rPr>
        <w:t>1.</w:t>
      </w:r>
      <w:r>
        <w:rPr>
          <w:rFonts w:ascii="Times New Roman" w:hAnsi="Times New Roman"/>
          <w:sz w:val="24"/>
          <w:szCs w:val="24"/>
        </w:rPr>
        <w:t xml:space="preserve"> Krivo postavljeni ciljevi ili nedovoljno zanimljivi ciljevi velikom broju korisnika/građana</w:t>
      </w:r>
    </w:p>
    <w:p w14:paraId="6FA3FB36" w14:textId="77777777" w:rsidR="0047653A" w:rsidRDefault="00C95746">
      <w:pPr>
        <w:spacing w:line="276" w:lineRule="auto"/>
        <w:jc w:val="both"/>
      </w:pPr>
      <w:r>
        <w:rPr>
          <w:rFonts w:ascii="Times New Roman" w:hAnsi="Times New Roman"/>
          <w:b/>
          <w:sz w:val="24"/>
          <w:szCs w:val="24"/>
        </w:rPr>
        <w:t>2.</w:t>
      </w:r>
      <w:r>
        <w:rPr>
          <w:rFonts w:ascii="Times New Roman" w:hAnsi="Times New Roman"/>
          <w:sz w:val="24"/>
          <w:szCs w:val="24"/>
        </w:rPr>
        <w:t xml:space="preserve"> Nedovoljan interes medija </w:t>
      </w:r>
    </w:p>
    <w:p w14:paraId="00E9372A" w14:textId="77777777" w:rsidR="0047653A" w:rsidRDefault="00C95746">
      <w:pPr>
        <w:spacing w:line="276" w:lineRule="auto"/>
        <w:jc w:val="both"/>
      </w:pPr>
      <w:r>
        <w:rPr>
          <w:rFonts w:ascii="Times New Roman" w:hAnsi="Times New Roman"/>
          <w:b/>
          <w:sz w:val="24"/>
          <w:szCs w:val="24"/>
        </w:rPr>
        <w:t>3.</w:t>
      </w:r>
      <w:r>
        <w:rPr>
          <w:rFonts w:ascii="Times New Roman" w:hAnsi="Times New Roman"/>
          <w:sz w:val="24"/>
          <w:szCs w:val="24"/>
        </w:rPr>
        <w:t xml:space="preserve"> Negativan stav prema županijskim institucijama</w:t>
      </w:r>
    </w:p>
    <w:p w14:paraId="0DF5F325" w14:textId="77777777" w:rsidR="0047653A" w:rsidRDefault="00C95746">
      <w:pPr>
        <w:spacing w:line="276" w:lineRule="auto"/>
        <w:jc w:val="both"/>
      </w:pPr>
      <w:r>
        <w:rPr>
          <w:rFonts w:ascii="Times New Roman" w:hAnsi="Times New Roman"/>
          <w:b/>
          <w:sz w:val="24"/>
          <w:szCs w:val="24"/>
        </w:rPr>
        <w:t>4.</w:t>
      </w:r>
      <w:r>
        <w:rPr>
          <w:rFonts w:ascii="Times New Roman" w:hAnsi="Times New Roman"/>
          <w:sz w:val="24"/>
          <w:szCs w:val="24"/>
        </w:rPr>
        <w:t xml:space="preserve"> Mogući loši međuljudski odnosi između ključnih dionika</w:t>
      </w:r>
    </w:p>
    <w:p w14:paraId="2F7D7E5A" w14:textId="77777777" w:rsidR="0047653A" w:rsidRDefault="00C95746">
      <w:pPr>
        <w:spacing w:line="276" w:lineRule="auto"/>
        <w:jc w:val="both"/>
      </w:pPr>
      <w:r>
        <w:rPr>
          <w:rFonts w:ascii="Times New Roman" w:hAnsi="Times New Roman"/>
          <w:b/>
          <w:sz w:val="24"/>
          <w:szCs w:val="24"/>
        </w:rPr>
        <w:t>5.</w:t>
      </w:r>
      <w:r>
        <w:rPr>
          <w:rFonts w:ascii="Times New Roman" w:hAnsi="Times New Roman"/>
          <w:sz w:val="24"/>
          <w:szCs w:val="24"/>
        </w:rPr>
        <w:t xml:space="preserve"> Fluktuacija radne snage </w:t>
      </w:r>
    </w:p>
    <w:p w14:paraId="7C65129A" w14:textId="77777777" w:rsidR="0047653A" w:rsidRDefault="0047653A">
      <w:pPr>
        <w:spacing w:line="276" w:lineRule="auto"/>
        <w:jc w:val="both"/>
        <w:rPr>
          <w:rFonts w:ascii="Times New Roman" w:hAnsi="Times New Roman"/>
          <w:sz w:val="24"/>
          <w:szCs w:val="24"/>
        </w:rPr>
      </w:pPr>
    </w:p>
    <w:p w14:paraId="4C87A694"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U nastavku navodimo mogućnost pojave rizika kao mala, srednja i velika mogućnost te plan kako ublažiti određeni rizik:</w:t>
      </w:r>
    </w:p>
    <w:p w14:paraId="0B0E4AF8" w14:textId="77777777" w:rsidR="0047653A" w:rsidRDefault="00C95746">
      <w:pPr>
        <w:spacing w:line="276" w:lineRule="auto"/>
        <w:jc w:val="both"/>
      </w:pPr>
      <w:r>
        <w:rPr>
          <w:rFonts w:ascii="Times New Roman" w:hAnsi="Times New Roman"/>
          <w:b/>
          <w:sz w:val="24"/>
          <w:szCs w:val="24"/>
        </w:rPr>
        <w:t>1.</w:t>
      </w:r>
      <w:r>
        <w:rPr>
          <w:rFonts w:ascii="Times New Roman" w:hAnsi="Times New Roman"/>
          <w:sz w:val="24"/>
          <w:szCs w:val="24"/>
        </w:rPr>
        <w:t xml:space="preserve"> Mogućnost pojave rizika: srednja</w:t>
      </w:r>
    </w:p>
    <w:p w14:paraId="3E5EBF58"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    Plan ublažavanja rizika: na kvalitetan način postaviti ciljeve kako bi planirali buduće aktivnosti, utvrdili prioritete i mjere u sklopu Plana razvoja BBŽ te pridonijeli učinkovitoj raspodjeli raspoloživih resursa i praćenju napretka u odnosu na postavljene ciljeve.</w:t>
      </w:r>
    </w:p>
    <w:p w14:paraId="53DF7619" w14:textId="77777777" w:rsidR="0047653A" w:rsidRDefault="00C95746">
      <w:pPr>
        <w:spacing w:line="276" w:lineRule="auto"/>
        <w:jc w:val="both"/>
      </w:pPr>
      <w:r>
        <w:rPr>
          <w:rFonts w:ascii="Times New Roman" w:hAnsi="Times New Roman"/>
          <w:b/>
          <w:sz w:val="24"/>
          <w:szCs w:val="24"/>
        </w:rPr>
        <w:t xml:space="preserve">2. </w:t>
      </w:r>
      <w:r>
        <w:rPr>
          <w:rFonts w:ascii="Times New Roman" w:hAnsi="Times New Roman"/>
          <w:sz w:val="24"/>
          <w:szCs w:val="24"/>
        </w:rPr>
        <w:t>Mogućnost pojave rizika: mala</w:t>
      </w:r>
    </w:p>
    <w:p w14:paraId="3EC282D6"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    Plan ublažavanja rizika: kontinuirano obavještavati medije o procesu pokretanja izrade Plana razvoja BBŽ za razdoblje 2022.-2027. godine kao i informacije o održanim sastancima radnih skupina, konferencijama, radionicama i ostalim događanjima.</w:t>
      </w:r>
    </w:p>
    <w:p w14:paraId="472218D8" w14:textId="77777777" w:rsidR="0047653A" w:rsidRDefault="00C95746">
      <w:pPr>
        <w:spacing w:line="276" w:lineRule="auto"/>
        <w:jc w:val="both"/>
      </w:pPr>
      <w:r>
        <w:rPr>
          <w:rFonts w:ascii="Times New Roman" w:hAnsi="Times New Roman"/>
          <w:b/>
          <w:sz w:val="24"/>
          <w:szCs w:val="24"/>
        </w:rPr>
        <w:t>3.</w:t>
      </w:r>
      <w:r>
        <w:rPr>
          <w:rFonts w:ascii="Times New Roman" w:hAnsi="Times New Roman"/>
          <w:sz w:val="24"/>
          <w:szCs w:val="24"/>
        </w:rPr>
        <w:t xml:space="preserve"> Mogućnost pojave rizika: srednja</w:t>
      </w:r>
    </w:p>
    <w:p w14:paraId="021FECCA"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    Plan ublažavanja rizika: jačanje povjerenja u sustav lokalne (regionalne) samouprave na način da se sve dionike ravnopravno uključi u realno planiranje i efikasno upravljanje u skladu sa zakonima i propisima.</w:t>
      </w:r>
    </w:p>
    <w:p w14:paraId="1DCBBE74" w14:textId="77777777" w:rsidR="0047653A" w:rsidRDefault="00C95746">
      <w:pPr>
        <w:spacing w:line="276" w:lineRule="auto"/>
        <w:jc w:val="both"/>
      </w:pPr>
      <w:r>
        <w:rPr>
          <w:rFonts w:ascii="Times New Roman" w:hAnsi="Times New Roman"/>
          <w:b/>
          <w:sz w:val="24"/>
          <w:szCs w:val="24"/>
        </w:rPr>
        <w:lastRenderedPageBreak/>
        <w:t>4.</w:t>
      </w:r>
      <w:r>
        <w:rPr>
          <w:rFonts w:ascii="Times New Roman" w:hAnsi="Times New Roman"/>
          <w:sz w:val="24"/>
          <w:szCs w:val="24"/>
        </w:rPr>
        <w:t xml:space="preserve"> Mogućnost pojave rizika: mala</w:t>
      </w:r>
    </w:p>
    <w:p w14:paraId="2C561D0B"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    Plan ublažavanja rizika: kako bi osigurali učinkovitu komunikaciju potrebno je na precizan način definirati prava i obveze svih uključenih dionika te razvijati kvalitetne međuljudske odnose temeljene na poštivanju etičkih, moralnih i kulturnih normi na radnom mjestu.</w:t>
      </w:r>
    </w:p>
    <w:p w14:paraId="7EA5029D" w14:textId="77777777" w:rsidR="0047653A" w:rsidRDefault="00C95746">
      <w:pPr>
        <w:spacing w:line="276" w:lineRule="auto"/>
        <w:jc w:val="both"/>
      </w:pPr>
      <w:r>
        <w:rPr>
          <w:rFonts w:ascii="Times New Roman" w:hAnsi="Times New Roman"/>
          <w:b/>
          <w:sz w:val="24"/>
          <w:szCs w:val="24"/>
        </w:rPr>
        <w:t>5.</w:t>
      </w:r>
      <w:r>
        <w:rPr>
          <w:rFonts w:ascii="Times New Roman" w:hAnsi="Times New Roman"/>
          <w:sz w:val="24"/>
          <w:szCs w:val="24"/>
        </w:rPr>
        <w:t xml:space="preserve"> Mogućnost pojave rizika: mala</w:t>
      </w:r>
    </w:p>
    <w:p w14:paraId="1B623627"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    Plan ublažavanja rizika: djelatnici uključeni u ključne procese više nisu zaposleni na radnom mjestu kao što su bili pri početku procesa izrade Plana razvoja BBŽ, ovaj rizik će se ublažiti na način da više dionika bude uključeno u ključne procese kako ne bi došlo do neispunjenja predviđenih radnih zadataka.</w:t>
      </w:r>
    </w:p>
    <w:p w14:paraId="21C4260D" w14:textId="77777777" w:rsidR="0047653A" w:rsidRDefault="0047653A">
      <w:pPr>
        <w:spacing w:line="276" w:lineRule="auto"/>
        <w:jc w:val="both"/>
        <w:rPr>
          <w:rFonts w:ascii="Times New Roman" w:hAnsi="Times New Roman"/>
          <w:sz w:val="24"/>
          <w:szCs w:val="24"/>
        </w:rPr>
      </w:pPr>
    </w:p>
    <w:p w14:paraId="7CF476D1" w14:textId="77777777" w:rsidR="0047653A" w:rsidRDefault="00C95746">
      <w:pPr>
        <w:spacing w:line="276" w:lineRule="auto"/>
        <w:jc w:val="both"/>
        <w:rPr>
          <w:rFonts w:ascii="Times New Roman" w:hAnsi="Times New Roman"/>
          <w:b/>
          <w:sz w:val="24"/>
          <w:szCs w:val="24"/>
        </w:rPr>
      </w:pPr>
      <w:r>
        <w:rPr>
          <w:rFonts w:ascii="Times New Roman" w:hAnsi="Times New Roman"/>
          <w:b/>
          <w:sz w:val="24"/>
          <w:szCs w:val="24"/>
        </w:rPr>
        <w:t xml:space="preserve">5. VREDNOVANJE USPJEŠNOSTI KOMUNIKACIJSKE STRATEGIJE  </w:t>
      </w:r>
    </w:p>
    <w:p w14:paraId="497F35AC" w14:textId="77777777" w:rsidR="0047653A" w:rsidRDefault="00C95746">
      <w:pPr>
        <w:spacing w:line="276" w:lineRule="auto"/>
        <w:jc w:val="both"/>
        <w:rPr>
          <w:rFonts w:ascii="Times New Roman" w:hAnsi="Times New Roman"/>
          <w:sz w:val="24"/>
          <w:szCs w:val="24"/>
        </w:rPr>
      </w:pPr>
      <w:r>
        <w:rPr>
          <w:rFonts w:ascii="Times New Roman" w:hAnsi="Times New Roman"/>
          <w:sz w:val="24"/>
          <w:szCs w:val="24"/>
        </w:rPr>
        <w:t xml:space="preserve">Postupak vrednovanja uspješnosti Komunikacijske strategije ima za cilj evaluirati učinkovitost komunikacijskih alata (elektronički mediji, tiskani materijali) te drugih komunikacijskih aktivnosti (npr. događanja). </w:t>
      </w:r>
    </w:p>
    <w:p w14:paraId="303AEA2B" w14:textId="77777777" w:rsidR="006802B2" w:rsidRDefault="006802B2">
      <w:pPr>
        <w:spacing w:line="276" w:lineRule="auto"/>
        <w:jc w:val="both"/>
        <w:rPr>
          <w:rFonts w:ascii="Times New Roman" w:hAnsi="Times New Roman"/>
          <w:sz w:val="24"/>
          <w:szCs w:val="24"/>
        </w:rPr>
      </w:pPr>
    </w:p>
    <w:p w14:paraId="5F362F90" w14:textId="77777777" w:rsidR="0047653A" w:rsidRDefault="00C95746">
      <w:pPr>
        <w:tabs>
          <w:tab w:val="left" w:pos="1064"/>
        </w:tabs>
        <w:spacing w:line="276" w:lineRule="auto"/>
        <w:rPr>
          <w:rFonts w:ascii="Times New Roman" w:hAnsi="Times New Roman"/>
          <w:sz w:val="24"/>
          <w:szCs w:val="24"/>
        </w:rPr>
      </w:pPr>
      <w:r>
        <w:rPr>
          <w:rFonts w:ascii="Times New Roman" w:hAnsi="Times New Roman"/>
          <w:sz w:val="24"/>
          <w:szCs w:val="24"/>
        </w:rPr>
        <w:t>Tablica 1.: Prikaz pokazatelja uspješnosti</w:t>
      </w:r>
    </w:p>
    <w:tbl>
      <w:tblPr>
        <w:tblW w:w="10207" w:type="dxa"/>
        <w:tblInd w:w="-431" w:type="dxa"/>
        <w:tblCellMar>
          <w:left w:w="10" w:type="dxa"/>
          <w:right w:w="10" w:type="dxa"/>
        </w:tblCellMar>
        <w:tblLook w:val="0000" w:firstRow="0" w:lastRow="0" w:firstColumn="0" w:lastColumn="0" w:noHBand="0" w:noVBand="0"/>
      </w:tblPr>
      <w:tblGrid>
        <w:gridCol w:w="5104"/>
        <w:gridCol w:w="5103"/>
      </w:tblGrid>
      <w:tr w:rsidR="0047653A" w14:paraId="5B11EE00" w14:textId="77777777">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8D24" w14:textId="77777777" w:rsidR="0047653A" w:rsidRDefault="00C95746">
            <w:pPr>
              <w:tabs>
                <w:tab w:val="left" w:pos="1064"/>
              </w:tabs>
              <w:spacing w:after="0" w:line="276" w:lineRule="auto"/>
              <w:jc w:val="center"/>
              <w:rPr>
                <w:rFonts w:ascii="Times New Roman" w:hAnsi="Times New Roman"/>
                <w:b/>
                <w:sz w:val="24"/>
                <w:szCs w:val="24"/>
              </w:rPr>
            </w:pPr>
            <w:r>
              <w:rPr>
                <w:rFonts w:ascii="Times New Roman" w:hAnsi="Times New Roman"/>
                <w:b/>
                <w:sz w:val="24"/>
                <w:szCs w:val="24"/>
              </w:rPr>
              <w:t>Komunikacijski alat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27225" w14:textId="77777777" w:rsidR="0047653A" w:rsidRDefault="00C95746">
            <w:pPr>
              <w:tabs>
                <w:tab w:val="left" w:pos="1064"/>
              </w:tabs>
              <w:spacing w:after="0" w:line="276" w:lineRule="auto"/>
              <w:jc w:val="center"/>
              <w:rPr>
                <w:rFonts w:ascii="Times New Roman" w:hAnsi="Times New Roman"/>
                <w:b/>
                <w:sz w:val="24"/>
                <w:szCs w:val="24"/>
              </w:rPr>
            </w:pPr>
            <w:r>
              <w:rPr>
                <w:rFonts w:ascii="Times New Roman" w:hAnsi="Times New Roman"/>
                <w:b/>
                <w:sz w:val="24"/>
                <w:szCs w:val="24"/>
              </w:rPr>
              <w:t>Pokazatelj uspješnosti</w:t>
            </w:r>
          </w:p>
        </w:tc>
      </w:tr>
      <w:tr w:rsidR="0047653A" w14:paraId="5FC8E24D" w14:textId="77777777">
        <w:trPr>
          <w:trHeight w:val="2219"/>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59CE" w14:textId="77777777" w:rsidR="0047653A" w:rsidRDefault="00C95746">
            <w:pPr>
              <w:tabs>
                <w:tab w:val="left" w:pos="1064"/>
              </w:tabs>
              <w:spacing w:after="0" w:line="276" w:lineRule="auto"/>
              <w:jc w:val="both"/>
            </w:pPr>
            <w:r>
              <w:rPr>
                <w:rFonts w:ascii="Times New Roman" w:hAnsi="Times New Roman"/>
                <w:sz w:val="24"/>
                <w:szCs w:val="24"/>
              </w:rPr>
              <w:t xml:space="preserve">Objavljivanje svih važnih informacija o izradi, provedbi i vrednovanju Plana razvoja Bjelovarsko-bilogorske županije na mrežnim stranicama Bjelovarsko-bilogorske županije </w:t>
            </w:r>
            <w:hyperlink r:id="rId17" w:history="1">
              <w:r>
                <w:rPr>
                  <w:rStyle w:val="Hiperveza"/>
                  <w:rFonts w:ascii="Times New Roman" w:hAnsi="Times New Roman"/>
                  <w:sz w:val="24"/>
                  <w:szCs w:val="24"/>
                </w:rPr>
                <w:t>www.bbz.hr</w:t>
              </w:r>
            </w:hyperlink>
            <w:r>
              <w:rPr>
                <w:rFonts w:ascii="Times New Roman" w:hAnsi="Times New Roman"/>
                <w:sz w:val="24"/>
                <w:szCs w:val="24"/>
              </w:rPr>
              <w:t xml:space="preserve"> i Javne ustanove Razvojne agencije Bjelovarsko-bilogorske županije </w:t>
            </w:r>
            <w:hyperlink r:id="rId18" w:history="1">
              <w:r>
                <w:rPr>
                  <w:rStyle w:val="Hiperveza"/>
                  <w:rFonts w:ascii="Times New Roman" w:hAnsi="Times New Roman"/>
                  <w:sz w:val="24"/>
                  <w:szCs w:val="24"/>
                </w:rPr>
                <w:t>www.jurabbz.hr</w:t>
              </w:r>
            </w:hyperlink>
            <w:r>
              <w:rPr>
                <w:rStyle w:val="Hiperveza"/>
                <w:rFonts w:ascii="Times New Roman" w:hAnsi="Times New Roman"/>
                <w:sz w:val="24"/>
                <w:szCs w:val="24"/>
                <w:u w:val="none"/>
              </w:rPr>
              <w:t xml:space="preserve"> </w:t>
            </w:r>
            <w:r>
              <w:rPr>
                <w:rStyle w:val="Hiperveza"/>
                <w:rFonts w:ascii="Times New Roman" w:hAnsi="Times New Roman"/>
                <w:color w:val="auto"/>
                <w:sz w:val="24"/>
                <w:szCs w:val="24"/>
                <w:u w:val="none"/>
              </w:rPr>
              <w:t>kao i na društvenim mrežama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0B94" w14:textId="77777777" w:rsidR="0047653A" w:rsidRDefault="0047653A">
            <w:pPr>
              <w:tabs>
                <w:tab w:val="left" w:pos="1064"/>
              </w:tabs>
              <w:spacing w:after="0" w:line="276" w:lineRule="auto"/>
              <w:jc w:val="both"/>
              <w:rPr>
                <w:rFonts w:ascii="Times New Roman" w:hAnsi="Times New Roman"/>
                <w:sz w:val="24"/>
                <w:szCs w:val="24"/>
              </w:rPr>
            </w:pPr>
          </w:p>
          <w:p w14:paraId="0806FB25" w14:textId="77777777" w:rsidR="0047653A" w:rsidRDefault="0047653A">
            <w:pPr>
              <w:tabs>
                <w:tab w:val="left" w:pos="1064"/>
              </w:tabs>
              <w:spacing w:after="0" w:line="276" w:lineRule="auto"/>
              <w:jc w:val="both"/>
              <w:rPr>
                <w:rFonts w:ascii="Times New Roman" w:hAnsi="Times New Roman"/>
                <w:sz w:val="24"/>
                <w:szCs w:val="24"/>
              </w:rPr>
            </w:pPr>
          </w:p>
          <w:p w14:paraId="0EDD6DC5" w14:textId="77777777" w:rsidR="0047653A" w:rsidRDefault="00C95746">
            <w:pPr>
              <w:tabs>
                <w:tab w:val="left" w:pos="1064"/>
              </w:tabs>
              <w:spacing w:after="0" w:line="276" w:lineRule="auto"/>
              <w:jc w:val="center"/>
              <w:rPr>
                <w:rFonts w:ascii="Times New Roman" w:hAnsi="Times New Roman"/>
                <w:sz w:val="24"/>
                <w:szCs w:val="24"/>
              </w:rPr>
            </w:pPr>
            <w:r>
              <w:rPr>
                <w:rFonts w:ascii="Times New Roman" w:hAnsi="Times New Roman"/>
                <w:sz w:val="24"/>
                <w:szCs w:val="24"/>
              </w:rPr>
              <w:t>Statistika praćenja posjeta</w:t>
            </w:r>
          </w:p>
        </w:tc>
      </w:tr>
      <w:tr w:rsidR="0047653A" w14:paraId="0D00C5C1" w14:textId="77777777">
        <w:trPr>
          <w:trHeight w:val="1542"/>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859B" w14:textId="77777777" w:rsidR="0047653A" w:rsidRDefault="00C95746">
            <w:pPr>
              <w:tabs>
                <w:tab w:val="left" w:pos="1064"/>
              </w:tabs>
              <w:spacing w:after="0" w:line="276" w:lineRule="auto"/>
              <w:jc w:val="both"/>
              <w:rPr>
                <w:rFonts w:ascii="Times New Roman" w:hAnsi="Times New Roman"/>
                <w:sz w:val="24"/>
                <w:szCs w:val="24"/>
              </w:rPr>
            </w:pPr>
            <w:r>
              <w:rPr>
                <w:rFonts w:ascii="Times New Roman" w:hAnsi="Times New Roman"/>
                <w:sz w:val="24"/>
                <w:szCs w:val="24"/>
              </w:rPr>
              <w:t>Održavanje radnih sastanaka Županijskog partnerskog vijeća i Radnih skupina, zaduženih službenika upravnih tijela Bjelovarsko-bilogorske županije i djelatnika Javne ustanove Razvojne agencije Bjelovarsko-bilogorske županije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58C9" w14:textId="77777777" w:rsidR="0047653A" w:rsidRDefault="0047653A">
            <w:pPr>
              <w:tabs>
                <w:tab w:val="left" w:pos="1064"/>
              </w:tabs>
              <w:spacing w:after="0" w:line="276" w:lineRule="auto"/>
              <w:rPr>
                <w:rFonts w:ascii="Times New Roman" w:hAnsi="Times New Roman"/>
                <w:sz w:val="24"/>
                <w:szCs w:val="24"/>
              </w:rPr>
            </w:pPr>
          </w:p>
          <w:p w14:paraId="07F2E9D2" w14:textId="77777777" w:rsidR="0047653A" w:rsidRDefault="00C95746">
            <w:pPr>
              <w:tabs>
                <w:tab w:val="left" w:pos="1064"/>
              </w:tabs>
              <w:spacing w:after="0" w:line="276" w:lineRule="auto"/>
              <w:jc w:val="center"/>
              <w:rPr>
                <w:rFonts w:ascii="Times New Roman" w:hAnsi="Times New Roman"/>
                <w:sz w:val="24"/>
                <w:szCs w:val="24"/>
              </w:rPr>
            </w:pPr>
            <w:r>
              <w:rPr>
                <w:rFonts w:ascii="Times New Roman" w:hAnsi="Times New Roman"/>
                <w:sz w:val="24"/>
                <w:szCs w:val="24"/>
              </w:rPr>
              <w:t>Broj održanih radnih sastanaka i tematskih radionica tijekom 2020. i 2021. godine</w:t>
            </w:r>
          </w:p>
        </w:tc>
      </w:tr>
      <w:tr w:rsidR="0047653A" w14:paraId="1E27AF37" w14:textId="77777777">
        <w:trPr>
          <w:trHeight w:val="128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33E2" w14:textId="77777777" w:rsidR="0047653A" w:rsidRDefault="00C95746">
            <w:pPr>
              <w:tabs>
                <w:tab w:val="left" w:pos="1064"/>
              </w:tabs>
              <w:spacing w:after="0" w:line="276" w:lineRule="auto"/>
              <w:jc w:val="both"/>
              <w:rPr>
                <w:rFonts w:ascii="Times New Roman" w:hAnsi="Times New Roman"/>
                <w:sz w:val="24"/>
                <w:szCs w:val="24"/>
              </w:rPr>
            </w:pPr>
            <w:r>
              <w:rPr>
                <w:rFonts w:ascii="Times New Roman" w:hAnsi="Times New Roman"/>
                <w:sz w:val="24"/>
                <w:szCs w:val="24"/>
              </w:rPr>
              <w:t>Organiziranje događanja i radionica namijenjenih predstavljanju strateških ciljeva, razvojnih prioriteta i mjera Plana razvoja Bjelovarsko-bilogorske županije te rezultata njegove provedbe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5CD6" w14:textId="77777777" w:rsidR="0047653A" w:rsidRDefault="0047653A">
            <w:pPr>
              <w:tabs>
                <w:tab w:val="left" w:pos="1064"/>
              </w:tabs>
              <w:spacing w:after="0" w:line="276" w:lineRule="auto"/>
              <w:rPr>
                <w:rFonts w:ascii="Times New Roman" w:hAnsi="Times New Roman"/>
                <w:sz w:val="24"/>
                <w:szCs w:val="24"/>
              </w:rPr>
            </w:pPr>
          </w:p>
          <w:p w14:paraId="170461C6" w14:textId="77777777" w:rsidR="0047653A" w:rsidRDefault="00C95746">
            <w:pPr>
              <w:tabs>
                <w:tab w:val="left" w:pos="1064"/>
              </w:tabs>
              <w:spacing w:after="0" w:line="276" w:lineRule="auto"/>
              <w:jc w:val="center"/>
              <w:rPr>
                <w:rFonts w:ascii="Times New Roman" w:hAnsi="Times New Roman"/>
                <w:sz w:val="24"/>
                <w:szCs w:val="24"/>
              </w:rPr>
            </w:pPr>
            <w:r>
              <w:rPr>
                <w:rFonts w:ascii="Times New Roman" w:hAnsi="Times New Roman"/>
                <w:sz w:val="24"/>
                <w:szCs w:val="24"/>
              </w:rPr>
              <w:t>Broj održanih događaja i radionica u razdoblju od 2022.-2027. godine</w:t>
            </w:r>
          </w:p>
        </w:tc>
      </w:tr>
      <w:tr w:rsidR="0047653A" w14:paraId="2F4C0139" w14:textId="77777777">
        <w:trPr>
          <w:trHeight w:val="1257"/>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92FD" w14:textId="77777777" w:rsidR="0047653A" w:rsidRDefault="00C95746">
            <w:pPr>
              <w:tabs>
                <w:tab w:val="left" w:pos="1064"/>
              </w:tabs>
              <w:spacing w:after="0" w:line="276" w:lineRule="auto"/>
              <w:jc w:val="both"/>
              <w:rPr>
                <w:rFonts w:ascii="Times New Roman" w:hAnsi="Times New Roman"/>
                <w:sz w:val="24"/>
                <w:szCs w:val="24"/>
              </w:rPr>
            </w:pPr>
            <w:r>
              <w:rPr>
                <w:rFonts w:ascii="Times New Roman" w:hAnsi="Times New Roman"/>
                <w:sz w:val="24"/>
                <w:szCs w:val="24"/>
              </w:rPr>
              <w:t>Provedba savjetovanja sa zainteresiranom javnošću o Nacrtu Plana razvoja Bjelovarsko-bilogorske županije za razdoblje 2022. – 2027. godine i Strateške studije utjecaja na okoliš</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F517" w14:textId="77777777" w:rsidR="0047653A" w:rsidRDefault="0047653A">
            <w:pPr>
              <w:tabs>
                <w:tab w:val="left" w:pos="1064"/>
              </w:tabs>
              <w:spacing w:after="0" w:line="276" w:lineRule="auto"/>
              <w:rPr>
                <w:rFonts w:ascii="Times New Roman" w:hAnsi="Times New Roman"/>
                <w:sz w:val="24"/>
                <w:szCs w:val="24"/>
              </w:rPr>
            </w:pPr>
          </w:p>
          <w:p w14:paraId="64AF2C86" w14:textId="77777777" w:rsidR="0047653A" w:rsidRDefault="00C95746">
            <w:pPr>
              <w:tabs>
                <w:tab w:val="left" w:pos="1064"/>
              </w:tabs>
              <w:spacing w:after="0" w:line="276" w:lineRule="auto"/>
              <w:jc w:val="center"/>
              <w:rPr>
                <w:rFonts w:ascii="Times New Roman" w:hAnsi="Times New Roman"/>
                <w:sz w:val="24"/>
                <w:szCs w:val="24"/>
              </w:rPr>
            </w:pPr>
            <w:r>
              <w:rPr>
                <w:rFonts w:ascii="Times New Roman" w:hAnsi="Times New Roman"/>
                <w:sz w:val="24"/>
                <w:szCs w:val="24"/>
              </w:rPr>
              <w:t>Provedeno savjetovanje sa zainteresiranom javnošću</w:t>
            </w:r>
          </w:p>
        </w:tc>
      </w:tr>
      <w:tr w:rsidR="0047653A" w14:paraId="00D2A5A4" w14:textId="77777777">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BACE" w14:textId="77777777" w:rsidR="0047653A" w:rsidRDefault="00C95746">
            <w:pPr>
              <w:tabs>
                <w:tab w:val="left" w:pos="1064"/>
              </w:tabs>
              <w:spacing w:after="0" w:line="276" w:lineRule="auto"/>
              <w:jc w:val="both"/>
              <w:rPr>
                <w:rFonts w:ascii="Times New Roman" w:hAnsi="Times New Roman"/>
                <w:sz w:val="24"/>
                <w:szCs w:val="24"/>
              </w:rPr>
            </w:pPr>
            <w:r>
              <w:rPr>
                <w:rFonts w:ascii="Times New Roman" w:hAnsi="Times New Roman"/>
                <w:sz w:val="24"/>
                <w:szCs w:val="24"/>
              </w:rPr>
              <w:t xml:space="preserve">Priopćenja za medije, konferencije za novinare, članci u tiskanim medijima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52C" w14:textId="77777777" w:rsidR="0047653A" w:rsidRDefault="00C95746">
            <w:pPr>
              <w:tabs>
                <w:tab w:val="left" w:pos="1064"/>
              </w:tabs>
              <w:spacing w:after="0" w:line="276" w:lineRule="auto"/>
              <w:jc w:val="center"/>
              <w:rPr>
                <w:rFonts w:ascii="Times New Roman" w:hAnsi="Times New Roman"/>
                <w:sz w:val="24"/>
                <w:szCs w:val="24"/>
              </w:rPr>
            </w:pPr>
            <w:r>
              <w:rPr>
                <w:rFonts w:ascii="Times New Roman" w:hAnsi="Times New Roman"/>
                <w:sz w:val="24"/>
                <w:szCs w:val="24"/>
              </w:rPr>
              <w:t>Broj medijskih objava u razdoblju od 2022.-2027. godine</w:t>
            </w:r>
          </w:p>
        </w:tc>
      </w:tr>
    </w:tbl>
    <w:p w14:paraId="2C293116" w14:textId="77777777" w:rsidR="00B4625C" w:rsidRDefault="00B4625C">
      <w:pPr>
        <w:sectPr w:rsidR="00B4625C">
          <w:type w:val="continuous"/>
          <w:pgSz w:w="11906" w:h="16838"/>
          <w:pgMar w:top="1417" w:right="1417" w:bottom="1417" w:left="1417" w:header="720" w:footer="720" w:gutter="0"/>
          <w:pgNumType w:start="1"/>
          <w:cols w:space="720"/>
          <w:titlePg/>
        </w:sectPr>
      </w:pPr>
    </w:p>
    <w:p w14:paraId="434CEEC9" w14:textId="77777777" w:rsidR="0047653A" w:rsidRDefault="00C95746">
      <w:pPr>
        <w:spacing w:line="276" w:lineRule="auto"/>
        <w:rPr>
          <w:rFonts w:ascii="Times New Roman" w:hAnsi="Times New Roman"/>
          <w:b/>
          <w:sz w:val="24"/>
          <w:szCs w:val="24"/>
        </w:rPr>
      </w:pPr>
      <w:r>
        <w:rPr>
          <w:rFonts w:ascii="Times New Roman" w:hAnsi="Times New Roman"/>
          <w:b/>
          <w:sz w:val="24"/>
          <w:szCs w:val="24"/>
        </w:rPr>
        <w:lastRenderedPageBreak/>
        <w:t>6. KOMUNIKACIJSKI AKCIJSKI PLAN</w:t>
      </w:r>
    </w:p>
    <w:p w14:paraId="79717988" w14:textId="77777777" w:rsidR="0047653A" w:rsidRDefault="00C95746">
      <w:pPr>
        <w:spacing w:line="276" w:lineRule="auto"/>
        <w:rPr>
          <w:rFonts w:ascii="Times New Roman" w:hAnsi="Times New Roman"/>
          <w:sz w:val="24"/>
          <w:szCs w:val="24"/>
        </w:rPr>
      </w:pPr>
      <w:r>
        <w:rPr>
          <w:rFonts w:ascii="Times New Roman" w:hAnsi="Times New Roman"/>
          <w:sz w:val="24"/>
          <w:szCs w:val="24"/>
        </w:rPr>
        <w:t>Tablica 2. Akcijski plan</w:t>
      </w:r>
    </w:p>
    <w:tbl>
      <w:tblPr>
        <w:tblW w:w="15735" w:type="dxa"/>
        <w:tblInd w:w="-714" w:type="dxa"/>
        <w:tblCellMar>
          <w:left w:w="10" w:type="dxa"/>
          <w:right w:w="10" w:type="dxa"/>
        </w:tblCellMar>
        <w:tblLook w:val="0000" w:firstRow="0" w:lastRow="0" w:firstColumn="0" w:lastColumn="0" w:noHBand="0" w:noVBand="0"/>
      </w:tblPr>
      <w:tblGrid>
        <w:gridCol w:w="3261"/>
        <w:gridCol w:w="3118"/>
        <w:gridCol w:w="3544"/>
        <w:gridCol w:w="3119"/>
        <w:gridCol w:w="2693"/>
      </w:tblGrid>
      <w:tr w:rsidR="0047653A" w14:paraId="06611F07"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5D21" w14:textId="77777777" w:rsidR="0047653A" w:rsidRDefault="00C95746">
            <w:pPr>
              <w:spacing w:after="0" w:line="276" w:lineRule="auto"/>
              <w:jc w:val="center"/>
              <w:rPr>
                <w:rFonts w:ascii="Times New Roman" w:hAnsi="Times New Roman"/>
                <w:b/>
                <w:sz w:val="24"/>
                <w:szCs w:val="24"/>
              </w:rPr>
            </w:pPr>
            <w:r>
              <w:rPr>
                <w:rFonts w:ascii="Times New Roman" w:hAnsi="Times New Roman"/>
                <w:b/>
                <w:sz w:val="24"/>
                <w:szCs w:val="24"/>
              </w:rPr>
              <w:t>Cilj</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853E" w14:textId="77777777" w:rsidR="0047653A" w:rsidRDefault="00C95746">
            <w:pPr>
              <w:spacing w:after="0" w:line="276" w:lineRule="auto"/>
              <w:jc w:val="center"/>
              <w:rPr>
                <w:rFonts w:ascii="Times New Roman" w:hAnsi="Times New Roman"/>
                <w:b/>
                <w:sz w:val="24"/>
                <w:szCs w:val="24"/>
              </w:rPr>
            </w:pPr>
            <w:r>
              <w:rPr>
                <w:rFonts w:ascii="Times New Roman" w:hAnsi="Times New Roman"/>
                <w:b/>
                <w:sz w:val="24"/>
                <w:szCs w:val="24"/>
              </w:rPr>
              <w:t>Ciljana skupina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7596" w14:textId="77777777" w:rsidR="0047653A" w:rsidRDefault="00C95746">
            <w:pPr>
              <w:spacing w:after="0" w:line="276" w:lineRule="auto"/>
              <w:jc w:val="center"/>
              <w:rPr>
                <w:rFonts w:ascii="Times New Roman" w:hAnsi="Times New Roman"/>
                <w:b/>
                <w:sz w:val="24"/>
                <w:szCs w:val="24"/>
              </w:rPr>
            </w:pPr>
            <w:r>
              <w:rPr>
                <w:rFonts w:ascii="Times New Roman" w:hAnsi="Times New Roman"/>
                <w:b/>
                <w:sz w:val="24"/>
                <w:szCs w:val="24"/>
              </w:rPr>
              <w:t>Komunikacijski alati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E212" w14:textId="77777777" w:rsidR="0047653A" w:rsidRDefault="00C95746">
            <w:pPr>
              <w:spacing w:after="0" w:line="276" w:lineRule="auto"/>
              <w:jc w:val="center"/>
              <w:rPr>
                <w:rFonts w:ascii="Times New Roman" w:hAnsi="Times New Roman"/>
                <w:b/>
                <w:sz w:val="24"/>
                <w:szCs w:val="24"/>
              </w:rPr>
            </w:pPr>
            <w:r>
              <w:rPr>
                <w:rFonts w:ascii="Times New Roman" w:hAnsi="Times New Roman"/>
                <w:b/>
                <w:sz w:val="24"/>
                <w:szCs w:val="24"/>
              </w:rPr>
              <w:t>Vremenski okvir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9991" w14:textId="77777777" w:rsidR="0047653A" w:rsidRDefault="00C95746">
            <w:pPr>
              <w:spacing w:after="0" w:line="276" w:lineRule="auto"/>
              <w:jc w:val="center"/>
              <w:rPr>
                <w:rFonts w:ascii="Times New Roman" w:hAnsi="Times New Roman"/>
                <w:b/>
                <w:sz w:val="24"/>
                <w:szCs w:val="24"/>
              </w:rPr>
            </w:pPr>
            <w:r>
              <w:rPr>
                <w:rFonts w:ascii="Times New Roman" w:hAnsi="Times New Roman"/>
                <w:b/>
                <w:sz w:val="24"/>
                <w:szCs w:val="24"/>
              </w:rPr>
              <w:t>Nositelji provedbe</w:t>
            </w:r>
          </w:p>
        </w:tc>
      </w:tr>
      <w:tr w:rsidR="0047653A" w14:paraId="0F513373" w14:textId="77777777">
        <w:trPr>
          <w:trHeight w:val="2501"/>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10BB" w14:textId="77777777" w:rsidR="0047653A" w:rsidRDefault="0047653A">
            <w:pPr>
              <w:spacing w:after="0" w:line="276" w:lineRule="auto"/>
              <w:jc w:val="both"/>
              <w:rPr>
                <w:rFonts w:ascii="Times New Roman" w:hAnsi="Times New Roman"/>
                <w:sz w:val="24"/>
                <w:szCs w:val="24"/>
              </w:rPr>
            </w:pPr>
          </w:p>
          <w:p w14:paraId="52BEB0D2" w14:textId="77777777" w:rsidR="0047653A" w:rsidRDefault="0047653A">
            <w:pPr>
              <w:spacing w:after="0" w:line="276" w:lineRule="auto"/>
              <w:jc w:val="both"/>
              <w:rPr>
                <w:rFonts w:ascii="Times New Roman" w:hAnsi="Times New Roman"/>
                <w:sz w:val="24"/>
                <w:szCs w:val="24"/>
              </w:rPr>
            </w:pPr>
          </w:p>
          <w:p w14:paraId="78924ECA"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Uspostaviti učinkovitu komunikaciju i suradnju svih dionika u procesu izrade Plana razvoja BBŽ 2022.-2027. godine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87CE" w14:textId="77777777" w:rsidR="0047653A" w:rsidRDefault="0047653A">
            <w:pPr>
              <w:spacing w:after="0" w:line="276" w:lineRule="auto"/>
              <w:jc w:val="both"/>
              <w:rPr>
                <w:rFonts w:ascii="Times New Roman" w:hAnsi="Times New Roman"/>
                <w:sz w:val="24"/>
                <w:szCs w:val="24"/>
              </w:rPr>
            </w:pPr>
          </w:p>
          <w:p w14:paraId="4397BD62" w14:textId="77777777" w:rsidR="0047653A" w:rsidRDefault="0047653A">
            <w:pPr>
              <w:spacing w:after="0" w:line="276" w:lineRule="auto"/>
              <w:jc w:val="both"/>
              <w:rPr>
                <w:rFonts w:ascii="Times New Roman" w:hAnsi="Times New Roman"/>
                <w:sz w:val="24"/>
                <w:szCs w:val="24"/>
              </w:rPr>
            </w:pPr>
          </w:p>
          <w:p w14:paraId="2F492062"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Jedinice lokalne samouprave, javne ustanove i javnopravna tijela, šira javnost, potencijalni korisnici, mediji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29E4" w14:textId="77777777" w:rsidR="0047653A" w:rsidRDefault="0047653A">
            <w:pPr>
              <w:spacing w:after="0" w:line="276" w:lineRule="auto"/>
              <w:rPr>
                <w:rFonts w:ascii="Times New Roman" w:hAnsi="Times New Roman"/>
                <w:sz w:val="24"/>
                <w:szCs w:val="24"/>
              </w:rPr>
            </w:pPr>
          </w:p>
          <w:p w14:paraId="078FE4F3"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Održavanje radnih sastanaka za dionike koji su uključeni u postupak izrade Plana razvoja Bjelovarsko-bilogorske županije (članovi Partnerskog vijeća, članovi radne skupine, djelatnici Javne ustanove Razvojne agencije Bjelovarsko-bilogorske županije)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FEF1" w14:textId="77777777" w:rsidR="0047653A" w:rsidRDefault="0047653A">
            <w:pPr>
              <w:spacing w:after="0" w:line="276" w:lineRule="auto"/>
              <w:rPr>
                <w:rFonts w:ascii="Times New Roman" w:hAnsi="Times New Roman"/>
                <w:sz w:val="24"/>
                <w:szCs w:val="24"/>
              </w:rPr>
            </w:pPr>
          </w:p>
          <w:p w14:paraId="0F973407"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Kontinuirano tijekom 2020. i 2021. godine do stupanja na snagu Odluke o donošenju Plana razvoja Bjelovarsko-bilogorske županije za razdoblje od 2022.-2027. godine.</w:t>
            </w:r>
          </w:p>
          <w:p w14:paraId="36B3A72B" w14:textId="77777777" w:rsidR="0047653A" w:rsidRDefault="0047653A">
            <w:pPr>
              <w:spacing w:line="276" w:lineRule="auto"/>
              <w:jc w:val="both"/>
              <w:rPr>
                <w:rFonts w:ascii="Times New Roman" w:hAnsi="Times New Roman"/>
                <w:sz w:val="24"/>
                <w:szCs w:val="24"/>
              </w:rPr>
            </w:pPr>
          </w:p>
          <w:p w14:paraId="2520E00F" w14:textId="77777777" w:rsidR="0047653A" w:rsidRDefault="0047653A">
            <w:pPr>
              <w:spacing w:line="276"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6534" w14:textId="77777777" w:rsidR="0047653A" w:rsidRDefault="0047653A">
            <w:pPr>
              <w:spacing w:line="276" w:lineRule="auto"/>
              <w:jc w:val="center"/>
              <w:rPr>
                <w:rFonts w:ascii="Times New Roman" w:hAnsi="Times New Roman"/>
                <w:sz w:val="24"/>
                <w:szCs w:val="24"/>
              </w:rPr>
            </w:pPr>
          </w:p>
          <w:p w14:paraId="36778037" w14:textId="77777777" w:rsidR="0047653A" w:rsidRDefault="00C95746">
            <w:pPr>
              <w:spacing w:line="276" w:lineRule="auto"/>
              <w:jc w:val="center"/>
              <w:rPr>
                <w:rFonts w:ascii="Times New Roman" w:hAnsi="Times New Roman"/>
                <w:sz w:val="24"/>
                <w:szCs w:val="24"/>
              </w:rPr>
            </w:pPr>
            <w:r>
              <w:rPr>
                <w:rFonts w:ascii="Times New Roman" w:hAnsi="Times New Roman"/>
                <w:sz w:val="24"/>
                <w:szCs w:val="24"/>
              </w:rPr>
              <w:t>Bjelovarsko-bilogorska županija</w:t>
            </w:r>
          </w:p>
          <w:p w14:paraId="217E8F6E" w14:textId="77777777" w:rsidR="0047653A" w:rsidRDefault="0047653A">
            <w:pPr>
              <w:spacing w:line="276" w:lineRule="auto"/>
              <w:jc w:val="center"/>
              <w:rPr>
                <w:rFonts w:ascii="Times New Roman" w:hAnsi="Times New Roman"/>
                <w:sz w:val="24"/>
                <w:szCs w:val="24"/>
              </w:rPr>
            </w:pPr>
          </w:p>
        </w:tc>
      </w:tr>
      <w:tr w:rsidR="0047653A" w14:paraId="42DF1EAF" w14:textId="77777777">
        <w:trPr>
          <w:trHeight w:val="17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7701" w14:textId="77777777" w:rsidR="0047653A" w:rsidRDefault="0047653A">
            <w:pPr>
              <w:spacing w:after="0" w:line="276" w:lineRule="auto"/>
              <w:jc w:val="both"/>
              <w:rPr>
                <w:rFonts w:ascii="Times New Roman" w:hAnsi="Times New Roman"/>
                <w:sz w:val="24"/>
                <w:szCs w:val="24"/>
              </w:rPr>
            </w:pPr>
          </w:p>
          <w:p w14:paraId="6CF52BFD"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Prikupljanje informacija o interesima, stavovima i  prijedlozima svih dionika zainteresiranih da utječu na javne politike u ime skupina i interesa koje zastupaju.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585D2" w14:textId="77777777" w:rsidR="0047653A" w:rsidRDefault="0047653A">
            <w:pPr>
              <w:spacing w:after="0" w:line="276" w:lineRule="auto"/>
              <w:jc w:val="both"/>
              <w:rPr>
                <w:rFonts w:ascii="Times New Roman" w:hAnsi="Times New Roman"/>
                <w:sz w:val="24"/>
                <w:szCs w:val="24"/>
              </w:rPr>
            </w:pPr>
          </w:p>
          <w:p w14:paraId="2D0B74F9" w14:textId="77777777" w:rsidR="0047653A" w:rsidRDefault="0047653A">
            <w:pPr>
              <w:spacing w:after="0" w:line="276" w:lineRule="auto"/>
              <w:jc w:val="both"/>
              <w:rPr>
                <w:rFonts w:ascii="Times New Roman" w:hAnsi="Times New Roman"/>
                <w:sz w:val="24"/>
                <w:szCs w:val="24"/>
              </w:rPr>
            </w:pPr>
          </w:p>
          <w:p w14:paraId="2B934A54" w14:textId="77777777" w:rsidR="0047653A" w:rsidRDefault="0047653A">
            <w:pPr>
              <w:spacing w:after="0" w:line="276" w:lineRule="auto"/>
              <w:jc w:val="both"/>
              <w:rPr>
                <w:rFonts w:ascii="Times New Roman" w:hAnsi="Times New Roman"/>
                <w:sz w:val="24"/>
                <w:szCs w:val="24"/>
              </w:rPr>
            </w:pPr>
          </w:p>
          <w:p w14:paraId="4C973223"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Šira javnost, potencijalni korisnici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B3657" w14:textId="77777777" w:rsidR="0047653A" w:rsidRDefault="0047653A">
            <w:pPr>
              <w:spacing w:after="0" w:line="276" w:lineRule="auto"/>
              <w:rPr>
                <w:rFonts w:ascii="Times New Roman" w:hAnsi="Times New Roman"/>
                <w:sz w:val="24"/>
                <w:szCs w:val="24"/>
              </w:rPr>
            </w:pPr>
          </w:p>
          <w:p w14:paraId="2F108857"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Provedba savjetovanja sa zainteresiranom javnošću o Nacrtu Plana razvoja Bjelovarsko-bilogorske županije za razdoblje od 2022.-2027. godine i Strateške studije utjecaja na okoliš.</w:t>
            </w:r>
          </w:p>
          <w:p w14:paraId="284B3831" w14:textId="77777777" w:rsidR="0047653A" w:rsidRDefault="0047653A">
            <w:pPr>
              <w:spacing w:after="0" w:line="276"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6752" w14:textId="77777777" w:rsidR="0047653A" w:rsidRDefault="0047653A">
            <w:pPr>
              <w:spacing w:line="276" w:lineRule="auto"/>
              <w:rPr>
                <w:rFonts w:ascii="Times New Roman" w:hAnsi="Times New Roman"/>
                <w:sz w:val="24"/>
                <w:szCs w:val="24"/>
              </w:rPr>
            </w:pPr>
          </w:p>
          <w:p w14:paraId="5F03A57B" w14:textId="77777777" w:rsidR="0047653A" w:rsidRDefault="00C95746">
            <w:pPr>
              <w:spacing w:line="276" w:lineRule="auto"/>
              <w:rPr>
                <w:rFonts w:ascii="Times New Roman" w:hAnsi="Times New Roman"/>
                <w:sz w:val="24"/>
                <w:szCs w:val="24"/>
              </w:rPr>
            </w:pPr>
            <w:r>
              <w:rPr>
                <w:rFonts w:ascii="Times New Roman" w:hAnsi="Times New Roman"/>
                <w:sz w:val="24"/>
                <w:szCs w:val="24"/>
              </w:rPr>
              <w:t>Od trenutka donošenja nacrta Plana razvoja BBŽ za razdoblje 2022.-2027. godine do trenutka Odluke o donošenju Plana razvoja BBŽ 2022.-2027. godine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40B8" w14:textId="77777777" w:rsidR="0047653A" w:rsidRDefault="0047653A">
            <w:pPr>
              <w:spacing w:line="276" w:lineRule="auto"/>
              <w:jc w:val="center"/>
              <w:rPr>
                <w:rFonts w:ascii="Times New Roman" w:hAnsi="Times New Roman"/>
                <w:sz w:val="24"/>
                <w:szCs w:val="24"/>
              </w:rPr>
            </w:pPr>
          </w:p>
          <w:p w14:paraId="00EF8EF1" w14:textId="77777777" w:rsidR="0047653A" w:rsidRDefault="00C95746">
            <w:pPr>
              <w:spacing w:line="276" w:lineRule="auto"/>
              <w:jc w:val="center"/>
              <w:rPr>
                <w:rFonts w:ascii="Times New Roman" w:hAnsi="Times New Roman"/>
                <w:sz w:val="24"/>
                <w:szCs w:val="24"/>
              </w:rPr>
            </w:pPr>
            <w:r>
              <w:rPr>
                <w:rFonts w:ascii="Times New Roman" w:hAnsi="Times New Roman"/>
                <w:sz w:val="24"/>
                <w:szCs w:val="24"/>
              </w:rPr>
              <w:t>Bjelovarsko-bilogorska županija</w:t>
            </w:r>
          </w:p>
          <w:p w14:paraId="014B5A98" w14:textId="77777777" w:rsidR="0047653A" w:rsidRDefault="0047653A">
            <w:pPr>
              <w:spacing w:after="0" w:line="276" w:lineRule="auto"/>
              <w:jc w:val="center"/>
              <w:rPr>
                <w:rFonts w:ascii="Times New Roman" w:hAnsi="Times New Roman"/>
                <w:sz w:val="24"/>
                <w:szCs w:val="24"/>
              </w:rPr>
            </w:pPr>
          </w:p>
        </w:tc>
      </w:tr>
      <w:tr w:rsidR="0047653A" w14:paraId="08596F10"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FE06" w14:textId="77777777" w:rsidR="0047653A" w:rsidRDefault="0047653A">
            <w:pPr>
              <w:spacing w:after="0" w:line="276" w:lineRule="auto"/>
              <w:jc w:val="both"/>
              <w:rPr>
                <w:rFonts w:ascii="Times New Roman" w:hAnsi="Times New Roman"/>
                <w:sz w:val="24"/>
                <w:szCs w:val="24"/>
              </w:rPr>
            </w:pPr>
          </w:p>
          <w:p w14:paraId="6225DA42"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Kontinuirano informiranje javnosti o fazama izrade Plana razvoja BBŽ 2022.-2027. godine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0B03" w14:textId="77777777" w:rsidR="0047653A" w:rsidRDefault="0047653A">
            <w:pPr>
              <w:spacing w:after="0" w:line="276" w:lineRule="auto"/>
              <w:jc w:val="both"/>
              <w:rPr>
                <w:rFonts w:ascii="Times New Roman" w:hAnsi="Times New Roman"/>
                <w:sz w:val="24"/>
                <w:szCs w:val="24"/>
              </w:rPr>
            </w:pPr>
          </w:p>
          <w:p w14:paraId="7E3A67A6"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Jedinice lokalne samouprave, javne ustanove i javnopravna tijela, šira javnost, potencijalni korisnici, mediji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4B49" w14:textId="77777777" w:rsidR="0047653A" w:rsidRDefault="0047653A">
            <w:pPr>
              <w:spacing w:after="0" w:line="276" w:lineRule="auto"/>
              <w:jc w:val="both"/>
              <w:rPr>
                <w:rFonts w:ascii="Times New Roman" w:hAnsi="Times New Roman"/>
                <w:sz w:val="24"/>
                <w:szCs w:val="24"/>
              </w:rPr>
            </w:pPr>
          </w:p>
          <w:p w14:paraId="29FFEC4A"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 xml:space="preserve">Kontinuirana objava svih relevantnih informacija vezanih za postupak izrade, provedbe i </w:t>
            </w:r>
            <w:r>
              <w:rPr>
                <w:rFonts w:ascii="Times New Roman" w:hAnsi="Times New Roman"/>
                <w:sz w:val="24"/>
                <w:szCs w:val="24"/>
              </w:rPr>
              <w:lastRenderedPageBreak/>
              <w:t>evaluacije Plana razvoja na mrežnim stranicama Bjelovarsko-</w:t>
            </w:r>
          </w:p>
          <w:p w14:paraId="5A189245"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bilogorske županije i Javne ustanove Razvojne agencije BBŽ</w:t>
            </w:r>
          </w:p>
          <w:p w14:paraId="7BB05487" w14:textId="77777777" w:rsidR="0047653A" w:rsidRDefault="0047653A">
            <w:pPr>
              <w:spacing w:after="0" w:line="276" w:lineRule="auto"/>
              <w:jc w:val="both"/>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BBB9" w14:textId="77777777" w:rsidR="0047653A" w:rsidRDefault="0047653A">
            <w:pPr>
              <w:spacing w:after="0" w:line="276" w:lineRule="auto"/>
              <w:rPr>
                <w:rFonts w:ascii="Times New Roman" w:hAnsi="Times New Roman"/>
                <w:sz w:val="24"/>
                <w:szCs w:val="24"/>
              </w:rPr>
            </w:pPr>
          </w:p>
          <w:p w14:paraId="5BD98BA3" w14:textId="77777777" w:rsidR="0047653A" w:rsidRDefault="0047653A">
            <w:pPr>
              <w:spacing w:line="276" w:lineRule="auto"/>
              <w:rPr>
                <w:rFonts w:ascii="Times New Roman" w:hAnsi="Times New Roman"/>
                <w:sz w:val="24"/>
                <w:szCs w:val="24"/>
              </w:rPr>
            </w:pPr>
          </w:p>
          <w:p w14:paraId="43CEC77A" w14:textId="77777777" w:rsidR="0047653A" w:rsidRDefault="00C95746">
            <w:pPr>
              <w:spacing w:line="276" w:lineRule="auto"/>
              <w:jc w:val="center"/>
              <w:rPr>
                <w:rFonts w:ascii="Times New Roman" w:hAnsi="Times New Roman"/>
                <w:sz w:val="24"/>
                <w:szCs w:val="24"/>
              </w:rPr>
            </w:pPr>
            <w:r>
              <w:rPr>
                <w:rFonts w:ascii="Times New Roman" w:hAnsi="Times New Roman"/>
                <w:sz w:val="24"/>
                <w:szCs w:val="24"/>
              </w:rPr>
              <w:t>Kontinuirano tijekom razdoblja 2021.-2027.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7764C" w14:textId="77777777" w:rsidR="0047653A" w:rsidRDefault="0047653A">
            <w:pPr>
              <w:spacing w:line="276" w:lineRule="auto"/>
              <w:rPr>
                <w:rFonts w:ascii="Times New Roman" w:hAnsi="Times New Roman"/>
                <w:sz w:val="24"/>
                <w:szCs w:val="24"/>
              </w:rPr>
            </w:pPr>
          </w:p>
          <w:p w14:paraId="75123FC9" w14:textId="77777777" w:rsidR="0047653A" w:rsidRDefault="00C95746">
            <w:pPr>
              <w:spacing w:line="276" w:lineRule="auto"/>
              <w:jc w:val="center"/>
              <w:rPr>
                <w:rFonts w:ascii="Times New Roman" w:hAnsi="Times New Roman"/>
                <w:sz w:val="24"/>
                <w:szCs w:val="24"/>
              </w:rPr>
            </w:pPr>
            <w:r>
              <w:rPr>
                <w:rFonts w:ascii="Times New Roman" w:hAnsi="Times New Roman"/>
                <w:sz w:val="24"/>
                <w:szCs w:val="24"/>
              </w:rPr>
              <w:t>Bjelovarsko-bilogorska županija</w:t>
            </w:r>
          </w:p>
          <w:p w14:paraId="5825FDBA" w14:textId="77777777" w:rsidR="0047653A" w:rsidRDefault="0047653A">
            <w:pPr>
              <w:jc w:val="center"/>
              <w:rPr>
                <w:rFonts w:ascii="Times New Roman" w:hAnsi="Times New Roman"/>
                <w:sz w:val="24"/>
                <w:szCs w:val="24"/>
              </w:rPr>
            </w:pPr>
          </w:p>
          <w:p w14:paraId="44839E37" w14:textId="77777777" w:rsidR="0047653A" w:rsidRDefault="0047653A">
            <w:pPr>
              <w:spacing w:line="276" w:lineRule="auto"/>
              <w:jc w:val="center"/>
              <w:rPr>
                <w:rFonts w:ascii="Times New Roman" w:hAnsi="Times New Roman"/>
                <w:sz w:val="24"/>
                <w:szCs w:val="24"/>
              </w:rPr>
            </w:pPr>
          </w:p>
        </w:tc>
      </w:tr>
      <w:tr w:rsidR="0047653A" w14:paraId="1BEB15BB" w14:textId="77777777">
        <w:trPr>
          <w:trHeight w:val="116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6C70" w14:textId="77777777" w:rsidR="0047653A" w:rsidRDefault="0047653A">
            <w:pPr>
              <w:spacing w:after="0" w:line="276" w:lineRule="auto"/>
              <w:jc w:val="both"/>
              <w:rPr>
                <w:rFonts w:ascii="Times New Roman" w:hAnsi="Times New Roman"/>
                <w:sz w:val="24"/>
                <w:szCs w:val="24"/>
              </w:rPr>
            </w:pPr>
          </w:p>
          <w:p w14:paraId="137AE44D"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Evaluacija Komunikacijske strategije i Komunikacijskog Akcijskog plana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508C1" w14:textId="77777777" w:rsidR="0047653A" w:rsidRDefault="0047653A">
            <w:pPr>
              <w:spacing w:after="0" w:line="276" w:lineRule="auto"/>
              <w:jc w:val="both"/>
              <w:rPr>
                <w:rFonts w:ascii="Times New Roman" w:hAnsi="Times New Roman"/>
                <w:sz w:val="24"/>
                <w:szCs w:val="24"/>
              </w:rPr>
            </w:pPr>
          </w:p>
          <w:p w14:paraId="2C7DC974"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Bjelovarsko-bilogorska županija, Javna ustanova Razvojna agencija Bjelovarsko-bilogorske županije</w:t>
            </w:r>
          </w:p>
          <w:p w14:paraId="70A62BFF" w14:textId="77777777" w:rsidR="0047653A" w:rsidRDefault="0047653A">
            <w:pPr>
              <w:spacing w:after="0" w:line="276" w:lineRule="auto"/>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2D311" w14:textId="77777777" w:rsidR="0047653A" w:rsidRDefault="0047653A">
            <w:pPr>
              <w:spacing w:after="0" w:line="276" w:lineRule="auto"/>
              <w:jc w:val="both"/>
              <w:rPr>
                <w:rFonts w:ascii="Times New Roman" w:hAnsi="Times New Roman"/>
                <w:sz w:val="24"/>
                <w:szCs w:val="24"/>
              </w:rPr>
            </w:pPr>
          </w:p>
          <w:p w14:paraId="4B980FB6" w14:textId="77777777" w:rsidR="0047653A" w:rsidRDefault="00C95746">
            <w:pPr>
              <w:spacing w:after="0" w:line="276" w:lineRule="auto"/>
              <w:jc w:val="both"/>
              <w:rPr>
                <w:rFonts w:ascii="Times New Roman" w:hAnsi="Times New Roman"/>
                <w:sz w:val="24"/>
                <w:szCs w:val="24"/>
              </w:rPr>
            </w:pPr>
            <w:r>
              <w:rPr>
                <w:rFonts w:ascii="Times New Roman" w:hAnsi="Times New Roman"/>
                <w:sz w:val="24"/>
                <w:szCs w:val="24"/>
              </w:rPr>
              <w:t>Ocjena provedbe komunikacijskih mjera navedenih u Komunikacijskoj strategiji i Komunikacijskom Akcijskom planu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9F79" w14:textId="77777777" w:rsidR="0047653A" w:rsidRDefault="0047653A">
            <w:pPr>
              <w:spacing w:after="0" w:line="276" w:lineRule="auto"/>
              <w:rPr>
                <w:rFonts w:ascii="Times New Roman" w:hAnsi="Times New Roman"/>
                <w:sz w:val="24"/>
                <w:szCs w:val="24"/>
              </w:rPr>
            </w:pPr>
          </w:p>
          <w:p w14:paraId="3DB59D14" w14:textId="77777777" w:rsidR="0047653A" w:rsidRDefault="0047653A">
            <w:pPr>
              <w:spacing w:after="0" w:line="276" w:lineRule="auto"/>
              <w:rPr>
                <w:rFonts w:ascii="Times New Roman" w:hAnsi="Times New Roman"/>
                <w:sz w:val="24"/>
                <w:szCs w:val="24"/>
              </w:rPr>
            </w:pPr>
          </w:p>
          <w:p w14:paraId="7B57E3F9" w14:textId="77777777" w:rsidR="0047653A" w:rsidRDefault="00C95746">
            <w:pPr>
              <w:spacing w:after="0" w:line="276" w:lineRule="auto"/>
              <w:jc w:val="center"/>
              <w:rPr>
                <w:rFonts w:ascii="Times New Roman" w:hAnsi="Times New Roman"/>
                <w:sz w:val="24"/>
                <w:szCs w:val="24"/>
              </w:rPr>
            </w:pPr>
            <w:r>
              <w:rPr>
                <w:rFonts w:ascii="Times New Roman" w:hAnsi="Times New Roman"/>
                <w:sz w:val="24"/>
                <w:szCs w:val="24"/>
              </w:rPr>
              <w:t>Kontinuirano tijekom razdoblja 2022.-2027.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1D43F" w14:textId="77777777" w:rsidR="0047653A" w:rsidRDefault="0047653A">
            <w:pPr>
              <w:spacing w:line="276" w:lineRule="auto"/>
              <w:jc w:val="center"/>
              <w:rPr>
                <w:rFonts w:ascii="Times New Roman" w:hAnsi="Times New Roman"/>
                <w:sz w:val="24"/>
                <w:szCs w:val="24"/>
              </w:rPr>
            </w:pPr>
          </w:p>
          <w:p w14:paraId="0DC85A6B" w14:textId="77777777" w:rsidR="0047653A" w:rsidRDefault="00C95746">
            <w:pPr>
              <w:spacing w:line="276" w:lineRule="auto"/>
              <w:jc w:val="center"/>
              <w:rPr>
                <w:rFonts w:ascii="Times New Roman" w:hAnsi="Times New Roman"/>
                <w:sz w:val="24"/>
                <w:szCs w:val="24"/>
              </w:rPr>
            </w:pPr>
            <w:r>
              <w:rPr>
                <w:rFonts w:ascii="Times New Roman" w:hAnsi="Times New Roman"/>
                <w:sz w:val="24"/>
                <w:szCs w:val="24"/>
              </w:rPr>
              <w:t>Bjelovarsko-bilogorska županija</w:t>
            </w:r>
          </w:p>
          <w:p w14:paraId="5A417324" w14:textId="77777777" w:rsidR="0047653A" w:rsidRDefault="0047653A">
            <w:pPr>
              <w:spacing w:after="0" w:line="276" w:lineRule="auto"/>
              <w:rPr>
                <w:rFonts w:ascii="Times New Roman" w:hAnsi="Times New Roman"/>
                <w:sz w:val="24"/>
                <w:szCs w:val="24"/>
              </w:rPr>
            </w:pPr>
          </w:p>
        </w:tc>
      </w:tr>
    </w:tbl>
    <w:p w14:paraId="24AD5EC2" w14:textId="77777777" w:rsidR="0047653A" w:rsidRDefault="0047653A">
      <w:pPr>
        <w:spacing w:line="276" w:lineRule="auto"/>
        <w:rPr>
          <w:rFonts w:ascii="Times New Roman" w:hAnsi="Times New Roman"/>
          <w:sz w:val="24"/>
          <w:szCs w:val="24"/>
        </w:rPr>
      </w:pPr>
    </w:p>
    <w:p w14:paraId="2A18F851" w14:textId="77777777" w:rsidR="0047653A" w:rsidRDefault="00C95746">
      <w:pPr>
        <w:spacing w:line="276" w:lineRule="auto"/>
      </w:pPr>
      <w:r>
        <w:rPr>
          <w:rFonts w:ascii="Times New Roman" w:hAnsi="Times New Roman"/>
          <w:sz w:val="24"/>
          <w:szCs w:val="24"/>
        </w:rPr>
        <w:t xml:space="preserve">Komunikacijsku strategiju i Komunikacijski akcijski plan kao sastavni dio Plana razvoja Bjelovarsko-bilogorske županije 2022.-2027. godine moguće je po potrebi mijenjati i dopunjavati u procesu izrade i provedbe Plana razvoja. </w:t>
      </w:r>
    </w:p>
    <w:sectPr w:rsidR="0047653A">
      <w:headerReference w:type="default" r:id="rId19"/>
      <w:footerReference w:type="default" r:id="rId20"/>
      <w:pgSz w:w="16838" w:h="11906" w:orient="landscape"/>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0448" w14:textId="77777777" w:rsidR="00DE0180" w:rsidRDefault="00DE0180">
      <w:pPr>
        <w:spacing w:after="0"/>
      </w:pPr>
      <w:r>
        <w:separator/>
      </w:r>
    </w:p>
  </w:endnote>
  <w:endnote w:type="continuationSeparator" w:id="0">
    <w:p w14:paraId="79391CBA" w14:textId="77777777" w:rsidR="00DE0180" w:rsidRDefault="00DE0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72F8" w14:textId="77777777" w:rsidR="004D37C8" w:rsidRDefault="00DE0180">
    <w:pPr>
      <w:pStyle w:val="Podnoje"/>
      <w:jc w:val="right"/>
    </w:pPr>
  </w:p>
  <w:p w14:paraId="3CFA4ED7" w14:textId="77777777" w:rsidR="004D37C8" w:rsidRDefault="00DE018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121E" w14:textId="77777777" w:rsidR="004D37C8" w:rsidRDefault="00DE018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790D" w14:textId="77777777" w:rsidR="004D37C8" w:rsidRDefault="00C95746">
    <w:pPr>
      <w:pStyle w:val="Podnoje"/>
    </w:pPr>
    <w:r>
      <w:fldChar w:fldCharType="begin"/>
    </w:r>
    <w:r>
      <w:instrText xml:space="preserve"> PAGE </w:instrText>
    </w:r>
    <w:r>
      <w:fldChar w:fldCharType="separate"/>
    </w:r>
    <w:r>
      <w:t>2</w:t>
    </w:r>
    <w:r>
      <w:fldChar w:fldCharType="end"/>
    </w:r>
  </w:p>
  <w:p w14:paraId="6BACD078" w14:textId="77777777" w:rsidR="004D37C8" w:rsidRDefault="00DE0180">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1995" w14:textId="77777777" w:rsidR="004D37C8" w:rsidRDefault="00C95746">
    <w:pPr>
      <w:pStyle w:val="Podnoje"/>
    </w:pPr>
    <w:r>
      <w:fldChar w:fldCharType="begin"/>
    </w:r>
    <w:r>
      <w:instrText xml:space="preserve"> PAGE </w:instrText>
    </w:r>
    <w:r>
      <w:fldChar w:fldCharType="separate"/>
    </w:r>
    <w:r>
      <w:t>2</w:t>
    </w:r>
    <w:r>
      <w:fldChar w:fldCharType="end"/>
    </w:r>
  </w:p>
  <w:p w14:paraId="551B39E7" w14:textId="77777777" w:rsidR="004D37C8" w:rsidRDefault="00DE0180">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F799" w14:textId="77777777" w:rsidR="004D37C8" w:rsidRDefault="00C95746">
    <w:pPr>
      <w:pStyle w:val="Podnoje"/>
    </w:pPr>
    <w:r>
      <w:fldChar w:fldCharType="begin"/>
    </w:r>
    <w:r>
      <w:instrText xml:space="preserve"> PAGE </w:instrText>
    </w:r>
    <w:r>
      <w:fldChar w:fldCharType="separate"/>
    </w:r>
    <w:r>
      <w:t>2</w:t>
    </w:r>
    <w:r>
      <w:fldChar w:fldCharType="end"/>
    </w:r>
  </w:p>
  <w:p w14:paraId="710454C9" w14:textId="77777777" w:rsidR="004D37C8" w:rsidRDefault="00DE01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42CA9" w14:textId="77777777" w:rsidR="00DE0180" w:rsidRDefault="00DE0180">
      <w:pPr>
        <w:spacing w:after="0"/>
      </w:pPr>
      <w:r>
        <w:rPr>
          <w:color w:val="000000"/>
        </w:rPr>
        <w:separator/>
      </w:r>
    </w:p>
  </w:footnote>
  <w:footnote w:type="continuationSeparator" w:id="0">
    <w:p w14:paraId="1A9F9DAE" w14:textId="77777777" w:rsidR="00DE0180" w:rsidRDefault="00DE01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3543" w14:textId="77777777" w:rsidR="004D37C8" w:rsidRDefault="00DE018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BEE8" w14:textId="77777777" w:rsidR="004D37C8" w:rsidRDefault="00DE01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BAC5" w14:textId="77777777" w:rsidR="004D37C8" w:rsidRDefault="00DE0180">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2740" w14:textId="77777777" w:rsidR="004D37C8" w:rsidRDefault="00DE0180">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D2CD2" w14:textId="77777777" w:rsidR="004D37C8" w:rsidRDefault="00DE01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177"/>
    <w:multiLevelType w:val="multilevel"/>
    <w:tmpl w:val="988EE6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72B1F91"/>
    <w:multiLevelType w:val="multilevel"/>
    <w:tmpl w:val="8C10EDC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3A"/>
    <w:rsid w:val="00366E83"/>
    <w:rsid w:val="0047653A"/>
    <w:rsid w:val="006802B2"/>
    <w:rsid w:val="006B3830"/>
    <w:rsid w:val="0071483E"/>
    <w:rsid w:val="00B4625C"/>
    <w:rsid w:val="00C95746"/>
    <w:rsid w:val="00DE01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4F0C"/>
  <w15:docId w15:val="{CDA0E978-CD6E-4DCC-BCAA-DCDE111C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character" w:styleId="Hiperveza">
    <w:name w:val="Hyperlink"/>
    <w:basedOn w:val="Zadanifontodlomka"/>
    <w:rPr>
      <w:color w:val="0563C1"/>
      <w:u w:val="single"/>
    </w:rPr>
  </w:style>
  <w:style w:type="paragraph" w:styleId="Zaglavlje">
    <w:name w:val="header"/>
    <w:basedOn w:val="Normal"/>
    <w:pPr>
      <w:tabs>
        <w:tab w:val="center" w:pos="4513"/>
        <w:tab w:val="right" w:pos="9026"/>
      </w:tabs>
      <w:spacing w:after="0"/>
    </w:pPr>
  </w:style>
  <w:style w:type="character" w:customStyle="1" w:styleId="ZaglavljeChar">
    <w:name w:val="Zaglavlje Char"/>
    <w:basedOn w:val="Zadanifontodlomka"/>
  </w:style>
  <w:style w:type="paragraph" w:styleId="Podnoje">
    <w:name w:val="footer"/>
    <w:basedOn w:val="Normal"/>
    <w:pPr>
      <w:tabs>
        <w:tab w:val="center" w:pos="4513"/>
        <w:tab w:val="right" w:pos="9026"/>
      </w:tabs>
      <w:spacing w:after="0"/>
    </w:pPr>
  </w:style>
  <w:style w:type="character" w:customStyle="1" w:styleId="PodnojeChar">
    <w:name w:val="Podnožje Char"/>
    <w:basedOn w:val="Zadanifontodlomka"/>
  </w:style>
  <w:style w:type="paragraph" w:styleId="Bezproreda">
    <w:name w:val="No Spacing"/>
    <w:pPr>
      <w:spacing w:after="0"/>
      <w:textAlignment w:val="auto"/>
    </w:pPr>
    <w:rPr>
      <w:rFonts w:eastAsia="Times New Roman"/>
      <w:lang w:eastAsia="hr-HR"/>
    </w:rPr>
  </w:style>
  <w:style w:type="character" w:customStyle="1" w:styleId="BezproredaChar">
    <w:name w:val="Bez proreda Char"/>
    <w:basedOn w:val="Zadanifontodlomka"/>
    <w:rPr>
      <w:rFonts w:ascii="Calibri" w:eastAsia="Times New Roman" w:hAnsi="Calibri" w:cs="Times New Roman"/>
      <w:lang w:eastAsia="hr-HR"/>
    </w:rPr>
  </w:style>
  <w:style w:type="character" w:customStyle="1" w:styleId="FooterChar">
    <w:name w:val="Footer Char"/>
    <w:basedOn w:val="Zadanifontodlomka"/>
  </w:style>
  <w:style w:type="character" w:customStyle="1" w:styleId="HeaderChar">
    <w:name w:val="Header Char"/>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jurabbz.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bbz.hr" TargetMode="External"/><Relationship Id="rId2" Type="http://schemas.openxmlformats.org/officeDocument/2006/relationships/styles" Target="styles.xml"/><Relationship Id="rId16" Type="http://schemas.openxmlformats.org/officeDocument/2006/relationships/hyperlink" Target="http://www.jurabbz.hr"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bz.hr"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Komunikacijska strategija i           Komunikacijski akcijski plan     Plana razvoja Bjelovarsko-bilogorske županije 2022.-2027.</dc:title>
  <dc:subject/>
  <dc:creator>Novi</dc:creator>
  <dc:description/>
  <cp:lastModifiedBy>LPZ9</cp:lastModifiedBy>
  <cp:revision>2</cp:revision>
  <dcterms:created xsi:type="dcterms:W3CDTF">2020-11-27T07:59:00Z</dcterms:created>
  <dcterms:modified xsi:type="dcterms:W3CDTF">2020-11-27T07:59:00Z</dcterms:modified>
</cp:coreProperties>
</file>